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D0" w:rsidRPr="00626ED2" w:rsidRDefault="007658D0">
      <w:pPr>
        <w:jc w:val="both"/>
        <w:rPr>
          <w:b/>
          <w:sz w:val="24"/>
          <w:szCs w:val="24"/>
        </w:rPr>
      </w:pPr>
    </w:p>
    <w:p w:rsidR="009E5D51" w:rsidRDefault="005E5E77" w:rsidP="007C6B74">
      <w:pPr>
        <w:jc w:val="both"/>
        <w:rPr>
          <w:b/>
          <w:sz w:val="24"/>
          <w:szCs w:val="24"/>
        </w:rPr>
      </w:pPr>
      <w:r>
        <w:rPr>
          <w:b/>
          <w:sz w:val="24"/>
        </w:rPr>
        <w:t>New series of circuit breakers launched</w:t>
      </w:r>
    </w:p>
    <w:p w:rsidR="007C6B74" w:rsidRPr="006C78B1" w:rsidRDefault="005E5E77" w:rsidP="007C6B74">
      <w:pPr>
        <w:jc w:val="both"/>
        <w:rPr>
          <w:b/>
          <w:i/>
        </w:rPr>
      </w:pPr>
      <w:r>
        <w:rPr>
          <w:b/>
          <w:i/>
        </w:rPr>
        <w:t>The circuit breakers in the DWB series are suitable for a wide range of applications.</w:t>
      </w:r>
    </w:p>
    <w:p w:rsidR="00535FBF" w:rsidRDefault="005E5E77" w:rsidP="005E5E77">
      <w:pPr>
        <w:spacing w:after="0" w:line="360" w:lineRule="auto"/>
        <w:jc w:val="both"/>
        <w:rPr>
          <w:rFonts w:cs="Calibri"/>
        </w:rPr>
      </w:pPr>
      <w:r>
        <w:t xml:space="preserve">WEG, a leading worldwide vendor of drive technology, is launching the DWB series of modular circuit breakers in Europe. They are designed with rated operating voltages up to 690 V AC or 250 V DC and are available in three-pole </w:t>
      </w:r>
      <w:r w:rsidR="00AA7290">
        <w:t>and</w:t>
      </w:r>
      <w:r>
        <w:t xml:space="preserve"> four-pole versions in six case sizes with rated operating currents from 16 to 1,600 A. The DWB </w:t>
      </w:r>
      <w:r w:rsidR="00056937">
        <w:t xml:space="preserve">molded case </w:t>
      </w:r>
      <w:r>
        <w:t>circuit breakers can reliably interrupt short-circuit currents up to 80 kA at 415 V to protect plants, equipment, cables and wiring, as well as motors a</w:t>
      </w:r>
      <w:bookmarkStart w:id="0" w:name="_GoBack"/>
      <w:bookmarkEnd w:id="0"/>
      <w:r>
        <w:t>nd generators. The circuit breakers feature very compact design, high robustness and high reliability, so users benefit from maximum operational reliability even under the most demanding conditions as well as space-saving installation.</w:t>
      </w:r>
    </w:p>
    <w:p w:rsidR="00535FBF" w:rsidRDefault="00535FBF" w:rsidP="005E5E77">
      <w:pPr>
        <w:spacing w:after="0" w:line="360" w:lineRule="auto"/>
        <w:jc w:val="both"/>
        <w:rPr>
          <w:rFonts w:cs="Calibri"/>
        </w:rPr>
      </w:pPr>
    </w:p>
    <w:p w:rsidR="005E5E77" w:rsidRPr="005E5E77" w:rsidRDefault="005E5E77" w:rsidP="005E5E77">
      <w:pPr>
        <w:spacing w:after="0" w:line="360" w:lineRule="auto"/>
        <w:jc w:val="both"/>
        <w:rPr>
          <w:rFonts w:cs="Calibri"/>
        </w:rPr>
      </w:pPr>
      <w:r>
        <w:t>With suitable accessories, the circuit breakers and associated plants, equipment and components can be switched on and off remotely. A uniform range of accessories within the series, including auxiliary switch blocks, undervoltage and shunt opening releases, and phase separators, reduce the require diversity of parts stock. That has a positive impact on stock management, type selection and detail engineering.</w:t>
      </w:r>
    </w:p>
    <w:p w:rsidR="005E5E77" w:rsidRPr="005E5E77" w:rsidRDefault="005E5E77" w:rsidP="005E5E77">
      <w:pPr>
        <w:spacing w:after="0" w:line="360" w:lineRule="auto"/>
        <w:jc w:val="both"/>
        <w:rPr>
          <w:rFonts w:cs="Calibri"/>
        </w:rPr>
      </w:pPr>
    </w:p>
    <w:p w:rsidR="005E5E77" w:rsidRDefault="001D404E" w:rsidP="005E5E77">
      <w:pPr>
        <w:spacing w:after="0" w:line="360" w:lineRule="auto"/>
        <w:jc w:val="both"/>
        <w:rPr>
          <w:rFonts w:cs="Calibri"/>
        </w:rPr>
      </w:pPr>
      <w:r w:rsidRPr="001257B3">
        <w:t>The modular design of the DWB series allows the complexity of the circuit breakers to be adapted to the</w:t>
      </w:r>
      <w:r>
        <w:t xml:space="preserve"> requirements of specific application areas. For example, the needs of simple cost-sensitive applications can be met using circuit breakers with fixed overload and short-circuit tripping mechanisms based on the thermal-magnetic operating principle. By contrast, circuit breakers with adjustable overload and short-circuit tripping mechanisms can be deployed in more sophisticated solutions. Circuit breakers with adjustable current-dependent or time-delayed overload and short-circuit tripping using electronic tripping mechanisms are available to meet complex requirements. These versions can be used to construct selective protections networks in order to constantly ensure that only the circuit breaker directly ahead of the fault location is tripped and all other parts of the network are reliably supplied with power.</w:t>
      </w:r>
    </w:p>
    <w:p w:rsidR="00977B86" w:rsidRPr="005E5E77" w:rsidRDefault="00977B86" w:rsidP="005E5E77">
      <w:pPr>
        <w:spacing w:after="0" w:line="360" w:lineRule="auto"/>
        <w:jc w:val="both"/>
        <w:rPr>
          <w:rFonts w:cs="Calibri"/>
        </w:rPr>
      </w:pPr>
    </w:p>
    <w:p w:rsidR="005E5E77" w:rsidRDefault="006A78B4" w:rsidP="005E5E77">
      <w:pPr>
        <w:spacing w:after="0" w:line="360" w:lineRule="auto"/>
        <w:jc w:val="both"/>
        <w:rPr>
          <w:rFonts w:cs="Calibri"/>
        </w:rPr>
      </w:pPr>
      <w:r>
        <w:t xml:space="preserve">Four-pole circuit breakers are available with and without neutral conductor protection. Versions without overload tripping can be used to protect non-inductive loads. Versions without overload tripping are also used in starter combinations, with the circuit breaker providing short-circuit protection and a </w:t>
      </w:r>
      <w:r>
        <w:lastRenderedPageBreak/>
        <w:t>separate overload relay providing overload protection. Electronic overload relays with a wide variety of protective effects are also frequently used in this connection.</w:t>
      </w:r>
    </w:p>
    <w:p w:rsidR="006A78B4" w:rsidRPr="005E5E77" w:rsidRDefault="006A78B4" w:rsidP="005E5E77">
      <w:pPr>
        <w:spacing w:after="0" w:line="360" w:lineRule="auto"/>
        <w:jc w:val="both"/>
        <w:rPr>
          <w:rFonts w:cs="Calibri"/>
        </w:rPr>
      </w:pPr>
    </w:p>
    <w:p w:rsidR="005E5E77" w:rsidRDefault="005E5E77" w:rsidP="005E5E77">
      <w:pPr>
        <w:spacing w:after="0" w:line="360" w:lineRule="auto"/>
        <w:jc w:val="both"/>
        <w:rPr>
          <w:rFonts w:cs="Calibri"/>
        </w:rPr>
      </w:pPr>
      <w:r>
        <w:t>Additionally, power disconnectors are available for effective interruption of power circuits. The circuit breakers in the DWB series are manufactured and tested in accordance with the IEC/EN 60947 standard (DIN VDE 0660) and the latest state of the art.</w:t>
      </w:r>
    </w:p>
    <w:p w:rsidR="005E5E77" w:rsidRDefault="005E5E77" w:rsidP="005E5E77">
      <w:pPr>
        <w:spacing w:after="0" w:line="360" w:lineRule="auto"/>
        <w:jc w:val="both"/>
        <w:rPr>
          <w:rFonts w:cs="Calibri"/>
        </w:rPr>
      </w:pPr>
    </w:p>
    <w:p w:rsidR="00474B5D" w:rsidRDefault="00E43344" w:rsidP="00E43344">
      <w:r>
        <w:t xml:space="preserve">Follow WEG on </w:t>
      </w:r>
      <w:r>
        <w:rPr>
          <w:rFonts w:ascii="Arial Narrow" w:hAnsi="Arial Narrow"/>
        </w:rPr>
        <w:t xml:space="preserve">  </w:t>
      </w:r>
      <w:r>
        <w:rPr>
          <w:noProof/>
          <w:lang w:val="de-AT" w:eastAsia="de-AT" w:bidi="ar-SA"/>
        </w:rPr>
        <w:drawing>
          <wp:inline distT="0" distB="0" distL="0" distR="0">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t xml:space="preserve">   </w:t>
      </w:r>
      <w:r>
        <w:rPr>
          <w:noProof/>
          <w:lang w:val="de-AT" w:eastAsia="de-AT" w:bidi="ar-SA"/>
        </w:rPr>
        <w:drawing>
          <wp:inline distT="0" distB="0" distL="0" distR="0">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t xml:space="preserve">  </w:t>
      </w:r>
      <w:r>
        <w:rPr>
          <w:noProof/>
          <w:lang w:val="de-AT" w:eastAsia="de-AT" w:bidi="ar-SA"/>
        </w:rPr>
        <w:drawing>
          <wp:inline distT="0" distB="0" distL="0" distR="0">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rsidR="00CF195F" w:rsidRDefault="00CF195F" w:rsidP="00E43344">
      <w:pPr>
        <w:rPr>
          <w:b/>
        </w:rPr>
      </w:pPr>
    </w:p>
    <w:p w:rsidR="00CF195F" w:rsidRDefault="00CF195F" w:rsidP="00E43344">
      <w:pPr>
        <w:rPr>
          <w:b/>
        </w:rPr>
      </w:pPr>
    </w:p>
    <w:p w:rsidR="0071584D" w:rsidRDefault="0071584D" w:rsidP="00E43344">
      <w:pPr>
        <w:rPr>
          <w:b/>
        </w:rPr>
      </w:pPr>
      <w:r>
        <w:rPr>
          <w:b/>
        </w:rPr>
        <w:t>Figure captions:</w:t>
      </w:r>
    </w:p>
    <w:p w:rsidR="00150D9D" w:rsidRDefault="00D749E3" w:rsidP="00E43344">
      <w:pPr>
        <w:rPr>
          <w:b/>
        </w:rPr>
      </w:pPr>
      <w:r>
        <w:rPr>
          <w:b/>
          <w:noProof/>
          <w:lang w:val="de-AT" w:eastAsia="de-AT" w:bidi="ar-SA"/>
        </w:rPr>
        <w:drawing>
          <wp:inline distT="0" distB="0" distL="0" distR="0">
            <wp:extent cx="2179376" cy="24841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WB100-1600_previ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7778" cy="2493697"/>
                    </a:xfrm>
                    <a:prstGeom prst="rect">
                      <a:avLst/>
                    </a:prstGeom>
                  </pic:spPr>
                </pic:pic>
              </a:graphicData>
            </a:graphic>
          </wp:inline>
        </w:drawing>
      </w:r>
    </w:p>
    <w:p w:rsidR="00150D9D" w:rsidRPr="005E5E77" w:rsidRDefault="000E347B" w:rsidP="00150D9D">
      <w:r>
        <w:rPr>
          <w:b/>
        </w:rPr>
        <w:t>WEG000851_Bild1:</w:t>
      </w:r>
      <w:r>
        <w:t xml:space="preserve"> The DWB series of </w:t>
      </w:r>
      <w:r w:rsidR="008D04E5">
        <w:t xml:space="preserve">molded case </w:t>
      </w:r>
      <w:r>
        <w:t>circuit breakers with rated operating currents from 16 to 1,600 A provide effective protection for plants, equipment, cables, wiring, motors and generators.</w:t>
      </w:r>
    </w:p>
    <w:p w:rsidR="000A2E15" w:rsidRDefault="000A2E15" w:rsidP="000A2E15">
      <w:pPr>
        <w:spacing w:after="0" w:line="360" w:lineRule="auto"/>
        <w:jc w:val="both"/>
        <w:rPr>
          <w:rFonts w:cs="Calibri"/>
        </w:rPr>
      </w:pPr>
    </w:p>
    <w:p w:rsidR="00DF4920" w:rsidRPr="003D52C7" w:rsidRDefault="00DF4920" w:rsidP="00DF4920">
      <w:pPr>
        <w:pStyle w:val="berschrift2"/>
        <w:jc w:val="both"/>
        <w:rPr>
          <w:rFonts w:ascii="Calibri" w:hAnsi="Calibri" w:cs="Calibri"/>
          <w:b w:val="0"/>
          <w:color w:val="000000"/>
          <w:sz w:val="22"/>
          <w:szCs w:val="22"/>
        </w:rPr>
      </w:pPr>
    </w:p>
    <w:p w:rsidR="00DF4920" w:rsidRPr="008821E9" w:rsidRDefault="00DF4920" w:rsidP="00DF4920">
      <w:pPr>
        <w:pStyle w:val="berschrift2"/>
        <w:rPr>
          <w:rFonts w:ascii="Calibri" w:hAnsi="Calibri" w:cs="Calibri"/>
          <w:color w:val="auto"/>
          <w:sz w:val="22"/>
          <w:szCs w:val="22"/>
        </w:rPr>
      </w:pPr>
      <w:r w:rsidRPr="008821E9">
        <w:rPr>
          <w:rFonts w:ascii="Calibri" w:hAnsi="Calibri" w:cs="Calibri"/>
          <w:color w:val="auto"/>
          <w:sz w:val="22"/>
          <w:szCs w:val="22"/>
        </w:rPr>
        <w:t>About WEG</w:t>
      </w:r>
    </w:p>
    <w:p w:rsidR="00DF4920" w:rsidRPr="008816F6" w:rsidRDefault="00DF4920" w:rsidP="00DF4920">
      <w:pPr>
        <w:jc w:val="both"/>
      </w:pPr>
      <w:r w:rsidRPr="008816F6">
        <w:t>WEG is one of the largest global manufacturers of electric equipment, having five main Business Units: Motors, Energy, Transmission and Distribution, Automation and Coatin</w:t>
      </w:r>
      <w:r>
        <w:t>gs.  The company employs over 30</w:t>
      </w:r>
      <w:r w:rsidRPr="008816F6">
        <w:t>,000 people worldwide and in 201</w:t>
      </w:r>
      <w:r>
        <w:t>5</w:t>
      </w:r>
      <w:r w:rsidRPr="008816F6">
        <w:t xml:space="preserve"> achieved global sales of </w:t>
      </w:r>
      <w:r w:rsidRPr="009D61DD">
        <w:t xml:space="preserve">US$ </w:t>
      </w:r>
      <w:r>
        <w:t xml:space="preserve">3.34 </w:t>
      </w:r>
      <w:r w:rsidRPr="008816F6">
        <w:t>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rsidR="00DF4920" w:rsidRDefault="00DF4920" w:rsidP="00DF4920">
      <w:pPr>
        <w:jc w:val="both"/>
        <w:rPr>
          <w:shd w:val="clear" w:color="auto" w:fill="FFFFFF"/>
        </w:rPr>
      </w:pPr>
      <w:r w:rsidRPr="008816F6">
        <w:rPr>
          <w:shd w:val="clear" w:color="auto" w:fill="FFFFFF"/>
        </w:rPr>
        <w:lastRenderedPageBreak/>
        <w:t>Its power generation, transmission and distribution solutions enable those across many industries, especially in the oil &amp; gas, water, power distribution, chemical and petrochemical markets, to operate more efficiently, and to reduce energy usage, carbon emissions and environmental impact.</w:t>
      </w:r>
      <w:r w:rsidRPr="008816F6">
        <w:t xml:space="preserve"> </w:t>
      </w:r>
      <w:r w:rsidRPr="008816F6">
        <w:rPr>
          <w:shd w:val="clear" w:color="auto" w:fill="FFFFFF"/>
        </w:rPr>
        <w:t>In addition, WEG provides full solutions for renewable energy projects, producing complete wind turbine</w:t>
      </w:r>
      <w:r>
        <w:rPr>
          <w:shd w:val="clear" w:color="auto" w:fill="FFFFFF"/>
        </w:rPr>
        <w:t xml:space="preserve"> and solar energy</w:t>
      </w:r>
      <w:r w:rsidRPr="008816F6">
        <w:rPr>
          <w:shd w:val="clear" w:color="auto" w:fill="FFFFFF"/>
        </w:rPr>
        <w:t xml:space="preserve"> systems.</w:t>
      </w:r>
    </w:p>
    <w:p w:rsidR="00DF4920" w:rsidRPr="00303DA7" w:rsidRDefault="00DF4920" w:rsidP="00DF4920">
      <w:pPr>
        <w:spacing w:after="0" w:line="240" w:lineRule="auto"/>
        <w:rPr>
          <w:rFonts w:cs="Calibri"/>
          <w:b/>
          <w:bCs/>
          <w:sz w:val="24"/>
          <w:szCs w:val="24"/>
          <w:lang w:val="en-US"/>
        </w:rPr>
      </w:pPr>
    </w:p>
    <w:p w:rsidR="00DF4920" w:rsidRPr="00303DA7" w:rsidRDefault="00DF4920" w:rsidP="00DF4920">
      <w:pPr>
        <w:spacing w:after="0" w:line="240" w:lineRule="auto"/>
        <w:rPr>
          <w:rFonts w:ascii="Times New Roman" w:hAnsi="Times New Roman"/>
          <w:sz w:val="24"/>
          <w:szCs w:val="24"/>
        </w:rPr>
      </w:pPr>
      <w:r w:rsidRPr="00303DA7">
        <w:rPr>
          <w:rFonts w:cs="Calibri"/>
          <w:b/>
          <w:bCs/>
        </w:rPr>
        <w:t>Editorial Contact</w:t>
      </w:r>
    </w:p>
    <w:p w:rsidR="00DF4920" w:rsidRPr="00303DA7" w:rsidRDefault="00DF4920" w:rsidP="00DF4920">
      <w:pPr>
        <w:spacing w:after="0" w:line="240" w:lineRule="auto"/>
        <w:rPr>
          <w:rFonts w:cs="Calibri"/>
        </w:rPr>
      </w:pPr>
      <w:r w:rsidRPr="00303DA7">
        <w:rPr>
          <w:rFonts w:cs="Calibri"/>
        </w:rPr>
        <w:t>Marco Giudici, Technical Publicity</w:t>
      </w:r>
      <w:r w:rsidRPr="00303DA7">
        <w:rPr>
          <w:rFonts w:cs="Calibri"/>
        </w:rPr>
        <w:br/>
        <w:t xml:space="preserve">Tel: +44 (0)1582 390991 </w:t>
      </w:r>
      <w:r w:rsidRPr="00303DA7">
        <w:rPr>
          <w:rFonts w:cs="Calibri"/>
        </w:rPr>
        <w:br/>
        <w:t xml:space="preserve">Email: </w:t>
      </w:r>
      <w:hyperlink r:id="rId15" w:history="1">
        <w:r w:rsidRPr="00303DA7">
          <w:rPr>
            <w:rFonts w:cs="Calibri"/>
            <w:color w:val="0000FF"/>
            <w:u w:val="single"/>
          </w:rPr>
          <w:t>mgiudici@technical-group.com</w:t>
        </w:r>
      </w:hyperlink>
      <w:r w:rsidRPr="00303DA7">
        <w:rPr>
          <w:rFonts w:cs="Calibri"/>
        </w:rPr>
        <w:t xml:space="preserve"> </w:t>
      </w:r>
    </w:p>
    <w:p w:rsidR="00DF4920" w:rsidRPr="00303DA7" w:rsidRDefault="00DF4920" w:rsidP="00DF4920">
      <w:pPr>
        <w:spacing w:after="0" w:line="240" w:lineRule="auto"/>
        <w:rPr>
          <w:rFonts w:ascii="Times New Roman" w:hAnsi="Times New Roman"/>
          <w:b/>
          <w:bCs/>
          <w:sz w:val="24"/>
          <w:szCs w:val="24"/>
        </w:rPr>
      </w:pPr>
    </w:p>
    <w:p w:rsidR="00DF4920" w:rsidRPr="00303DA7" w:rsidRDefault="00DF4920" w:rsidP="00DF4920">
      <w:pPr>
        <w:spacing w:after="0" w:line="240" w:lineRule="auto"/>
        <w:rPr>
          <w:rFonts w:ascii="Times New Roman" w:hAnsi="Times New Roman"/>
          <w:sz w:val="24"/>
          <w:szCs w:val="24"/>
        </w:rPr>
      </w:pPr>
      <w:r w:rsidRPr="00303DA7">
        <w:rPr>
          <w:rFonts w:cs="Calibri"/>
          <w:b/>
          <w:bCs/>
        </w:rPr>
        <w:t>Company Contact</w:t>
      </w:r>
    </w:p>
    <w:p w:rsidR="00DF4920" w:rsidRPr="00DF4920" w:rsidRDefault="00DF4920" w:rsidP="00DF4920">
      <w:pPr>
        <w:spacing w:after="0" w:line="240" w:lineRule="auto"/>
        <w:rPr>
          <w:rFonts w:cs="Calibri"/>
          <w:lang w:val="en-US"/>
        </w:rPr>
      </w:pPr>
      <w:r w:rsidRPr="00DF4920">
        <w:rPr>
          <w:rFonts w:cs="Calibri"/>
          <w:lang w:val="en-US"/>
        </w:rPr>
        <w:t xml:space="preserve">Marek Lukaszczyk, WEG (UK) Ltd </w:t>
      </w:r>
      <w:r w:rsidRPr="00DF4920">
        <w:rPr>
          <w:rFonts w:cs="Calibri"/>
          <w:lang w:val="en-US"/>
        </w:rPr>
        <w:br/>
        <w:t>Tel: +44(0)1527 513800 Fax: +44(0)1527 513810</w:t>
      </w:r>
      <w:r w:rsidRPr="00DF4920">
        <w:rPr>
          <w:rFonts w:cs="Calibri"/>
          <w:lang w:val="en-US"/>
        </w:rPr>
        <w:br/>
        <w:t>Email: </w:t>
      </w:r>
      <w:hyperlink r:id="rId16" w:history="1">
        <w:r w:rsidRPr="00DF4920">
          <w:rPr>
            <w:rStyle w:val="Hyperlink"/>
            <w:rFonts w:cs="Calibri"/>
            <w:lang w:val="en-US"/>
          </w:rPr>
          <w:t>wuk-enquiry@weg.net</w:t>
        </w:r>
      </w:hyperlink>
    </w:p>
    <w:p w:rsidR="00DF4920" w:rsidRPr="00DF4920" w:rsidRDefault="00DF4920" w:rsidP="00DF4920">
      <w:pPr>
        <w:spacing w:after="0" w:line="240" w:lineRule="auto"/>
        <w:rPr>
          <w:rFonts w:cs="Calibri"/>
          <w:highlight w:val="cyan"/>
          <w:lang w:val="en-US"/>
        </w:rPr>
      </w:pPr>
    </w:p>
    <w:p w:rsidR="00DF4920" w:rsidRPr="00303DA7" w:rsidRDefault="00DF4920" w:rsidP="00DF4920">
      <w:pPr>
        <w:spacing w:after="0" w:line="240" w:lineRule="auto"/>
        <w:rPr>
          <w:rFonts w:cs="Calibri"/>
          <w:lang w:val="de-DE"/>
        </w:rPr>
      </w:pPr>
      <w:r w:rsidRPr="00303DA7">
        <w:rPr>
          <w:rFonts w:cs="Calibri"/>
          <w:lang w:val="de-DE"/>
        </w:rPr>
        <w:t xml:space="preserve">Web: </w:t>
      </w:r>
      <w:hyperlink r:id="rId17" w:history="1">
        <w:r w:rsidRPr="00303DA7">
          <w:rPr>
            <w:rFonts w:cs="Calibri"/>
            <w:color w:val="0000FF"/>
            <w:u w:val="single"/>
            <w:lang w:val="de-DE"/>
          </w:rPr>
          <w:t>www.weg.net</w:t>
        </w:r>
      </w:hyperlink>
      <w:r w:rsidRPr="00303DA7">
        <w:rPr>
          <w:rFonts w:cs="Calibri"/>
          <w:color w:val="0000FF"/>
          <w:u w:val="single"/>
          <w:lang w:val="de-DE"/>
        </w:rPr>
        <w:t>/uk</w:t>
      </w:r>
    </w:p>
    <w:p w:rsidR="00DF4920" w:rsidRPr="00303DA7" w:rsidRDefault="00DF4920" w:rsidP="00DF4920">
      <w:pPr>
        <w:spacing w:after="0" w:line="240" w:lineRule="auto"/>
        <w:rPr>
          <w:rFonts w:ascii="Times New Roman" w:hAnsi="Times New Roman"/>
          <w:sz w:val="24"/>
          <w:szCs w:val="24"/>
        </w:rPr>
      </w:pPr>
    </w:p>
    <w:p w:rsidR="00DF4920" w:rsidRPr="005201EE" w:rsidRDefault="00DF4920" w:rsidP="00DF4920">
      <w:pPr>
        <w:spacing w:after="0" w:line="360" w:lineRule="auto"/>
        <w:jc w:val="both"/>
      </w:pPr>
    </w:p>
    <w:p w:rsidR="007658D0" w:rsidRPr="0040185B" w:rsidRDefault="007658D0" w:rsidP="00912731">
      <w:pPr>
        <w:pStyle w:val="berschrift2"/>
        <w:jc w:val="both"/>
        <w:rPr>
          <w:lang w:val="de-DE"/>
        </w:rPr>
      </w:pPr>
    </w:p>
    <w:sectPr w:rsidR="007658D0" w:rsidRPr="0040185B" w:rsidSect="004F6F9A">
      <w:headerReference w:type="even" r:id="rId18"/>
      <w:headerReference w:type="default" r:id="rId19"/>
      <w:footerReference w:type="even" r:id="rId20"/>
      <w:footerReference w:type="default" r:id="rId21"/>
      <w:headerReference w:type="first" r:id="rId22"/>
      <w:footerReference w:type="first" r:id="rId23"/>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66" w:rsidRDefault="00B41666">
      <w:r>
        <w:separator/>
      </w:r>
    </w:p>
  </w:endnote>
  <w:endnote w:type="continuationSeparator" w:id="0">
    <w:p w:rsidR="00B41666" w:rsidRDefault="00B41666">
      <w:r>
        <w:continuationSeparator/>
      </w:r>
    </w:p>
  </w:endnote>
  <w:endnote w:type="continuationNotice" w:id="1">
    <w:p w:rsidR="00B41666" w:rsidRDefault="00B41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5B" w:rsidRDefault="004018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Fuzeile"/>
      <w:jc w:val="right"/>
      <w:rPr>
        <w:rFonts w:ascii="Helvetica" w:hAnsi="Helvetic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091B12">
    <w:pPr>
      <w:pStyle w:val="Fuzeile"/>
    </w:pPr>
    <w:r>
      <w:rPr>
        <w:noProof/>
        <w:lang w:val="fr-FR" w:eastAsia="zh-CN" w:bidi="ar-SA"/>
      </w:rPr>
      <w:pict>
        <v:shapetype id="_x0000_t202" coordsize="21600,21600" o:spt="202" path="m,l,21600r21600,l21600,xe">
          <v:stroke joinstyle="miter"/>
          <v:path gradientshapeok="t" o:connecttype="rect"/>
        </v:shapetype>
        <v:shape id="Text Box 14" o:spid="_x0000_s6145"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rsidR="009751B5" w:rsidRDefault="009751B5">
                <w:pPr>
                  <w:tabs>
                    <w:tab w:val="right" w:pos="9000"/>
                  </w:tabs>
                  <w:rPr>
                    <w:rFonts w:ascii="Helvetica" w:hAnsi="Helvetica" w:cs="Arial"/>
                    <w:sz w:val="16"/>
                    <w:szCs w:val="16"/>
                  </w:rPr>
                </w:pPr>
                <w:r>
                  <w:tab/>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66" w:rsidRDefault="00B41666">
      <w:r>
        <w:separator/>
      </w:r>
    </w:p>
  </w:footnote>
  <w:footnote w:type="continuationSeparator" w:id="0">
    <w:p w:rsidR="00B41666" w:rsidRDefault="00B41666">
      <w:r>
        <w:continuationSeparator/>
      </w:r>
    </w:p>
  </w:footnote>
  <w:footnote w:type="continuationNotice" w:id="1">
    <w:p w:rsidR="00B41666" w:rsidRDefault="00B41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5B" w:rsidRDefault="004018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474B5D">
    <w:pPr>
      <w:pStyle w:val="Kopfzeile"/>
    </w:pPr>
    <w:r>
      <w:rPr>
        <w:noProof/>
        <w:lang w:val="de-AT" w:eastAsia="de-AT" w:bidi="ar-SA"/>
      </w:rPr>
      <w:drawing>
        <wp:anchor distT="0" distB="0" distL="114300" distR="114300" simplePos="0" relativeHeight="251657216" behindDoc="1" locked="1" layoutInCell="0" allowOverlap="1">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rPr>
        <w:rFonts w:ascii="Calibri" w:hAnsi="Calibri" w:cs="Calibri"/>
      </w:rPr>
    </w:pPr>
  </w:p>
  <w:p w:rsidR="009E5D51" w:rsidRDefault="009751B5">
    <w:pPr>
      <w:spacing w:after="0"/>
      <w:rPr>
        <w:sz w:val="36"/>
      </w:rPr>
    </w:pPr>
    <w:r>
      <w:rPr>
        <w:sz w:val="36"/>
      </w:rPr>
      <w:t>PRESS RELEASE</w:t>
    </w:r>
  </w:p>
  <w:p w:rsidR="009751B5" w:rsidRPr="004F6F9A" w:rsidRDefault="009751B5">
    <w:pPr>
      <w:pStyle w:val="Kopfzeile"/>
      <w:rPr>
        <w:rFonts w:ascii="Calibri" w:hAnsi="Calibri" w:cs="Calibri"/>
      </w:rPr>
    </w:pPr>
  </w:p>
  <w:p w:rsidR="009751B5" w:rsidRPr="004F6F9A" w:rsidRDefault="00474B5D">
    <w:pPr>
      <w:pStyle w:val="Kopfzeile"/>
      <w:rPr>
        <w:rFonts w:ascii="Calibri" w:hAnsi="Calibri" w:cs="Calibri"/>
        <w:sz w:val="22"/>
        <w:szCs w:val="22"/>
      </w:rPr>
    </w:pPr>
    <w:r>
      <w:rPr>
        <w:noProof/>
        <w:sz w:val="22"/>
        <w:szCs w:val="22"/>
        <w:lang w:val="de-AT" w:eastAsia="de-AT" w:bidi="ar-SA"/>
      </w:rPr>
      <w:drawing>
        <wp:anchor distT="0" distB="0" distL="114300" distR="114300" simplePos="0" relativeHeight="251659264" behindDoc="1" locked="1" layoutInCell="1" allowOverlap="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No.: WEG000851</w:t>
    </w:r>
  </w:p>
  <w:p w:rsidR="009751B5" w:rsidRPr="004F6F9A" w:rsidRDefault="00BC00BD">
    <w:pPr>
      <w:pStyle w:val="Kopfzeile"/>
      <w:rPr>
        <w:rFonts w:ascii="Calibri" w:hAnsi="Calibri" w:cs="Calibri"/>
        <w:sz w:val="22"/>
        <w:szCs w:val="22"/>
      </w:rPr>
    </w:pPr>
    <w:r>
      <w:rPr>
        <w:rFonts w:ascii="Calibri" w:hAnsi="Calibri"/>
        <w:sz w:val="22"/>
      </w:rPr>
      <w:t>Date: 22 November 2016</w:t>
    </w:r>
  </w:p>
  <w:p w:rsidR="009751B5" w:rsidRPr="004F6F9A" w:rsidRDefault="009751B5" w:rsidP="00476974">
    <w:pPr>
      <w:pStyle w:val="Kopfzeile"/>
      <w:rPr>
        <w:rFonts w:ascii="Calibri" w:hAnsi="Calibri" w:cs="Calibri"/>
        <w:sz w:val="22"/>
        <w:szCs w:val="22"/>
      </w:rPr>
    </w:pPr>
    <w:r>
      <w:tab/>
    </w:r>
    <w:r>
      <w:tab/>
    </w:r>
  </w:p>
  <w:p w:rsidR="009751B5" w:rsidRPr="00C6147D" w:rsidRDefault="00C6147D" w:rsidP="00E20DC2">
    <w:pPr>
      <w:pStyle w:val="Kopfzeile"/>
      <w:jc w:val="right"/>
      <w:rPr>
        <w:rFonts w:ascii="Calibri" w:hAnsi="Calibri" w:cs="Calibri"/>
        <w:sz w:val="22"/>
        <w:szCs w:val="22"/>
      </w:rPr>
    </w:pPr>
    <w:r>
      <w:rPr>
        <w:rFonts w:ascii="Calibri" w:hAnsi="Calibri"/>
        <w:sz w:val="22"/>
      </w:rPr>
      <w:t xml:space="preserve">WEG at SPS IPC Drives 2016: </w:t>
    </w:r>
    <w:r w:rsidR="0040185B">
      <w:rPr>
        <w:rFonts w:ascii="Calibri" w:hAnsi="Calibri"/>
        <w:sz w:val="22"/>
      </w:rPr>
      <w:t xml:space="preserve">Hall 3, </w:t>
    </w:r>
    <w:r>
      <w:rPr>
        <w:rFonts w:ascii="Calibri" w:hAnsi="Calibri"/>
        <w:sz w:val="22"/>
      </w:rPr>
      <w:t>Stand 250</w:t>
    </w:r>
    <w:r>
      <w:rPr>
        <w:noProof/>
        <w:sz w:val="22"/>
        <w:szCs w:val="22"/>
        <w:lang w:val="de-AT" w:eastAsia="de-AT" w:bidi="ar-SA"/>
      </w:rPr>
      <w:drawing>
        <wp:anchor distT="0" distB="0" distL="114300" distR="114300" simplePos="0" relativeHeight="251658240"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2E7"/>
    <w:multiLevelType w:val="hybridMultilevel"/>
    <w:tmpl w:val="8C4EFA48"/>
    <w:lvl w:ilvl="0" w:tplc="5DA630EE">
      <w:start w:val="1"/>
      <w:numFmt w:val="bullet"/>
      <w:lvlText w:val=""/>
      <w:lvlJc w:val="left"/>
      <w:pPr>
        <w:tabs>
          <w:tab w:val="num" w:pos="720"/>
        </w:tabs>
        <w:ind w:left="720" w:hanging="360"/>
      </w:pPr>
      <w:rPr>
        <w:rFonts w:ascii="Wingdings" w:hAnsi="Wingdings" w:hint="default"/>
      </w:rPr>
    </w:lvl>
    <w:lvl w:ilvl="1" w:tplc="5F9A1ACA">
      <w:start w:val="1"/>
      <w:numFmt w:val="bullet"/>
      <w:lvlText w:val=""/>
      <w:lvlJc w:val="left"/>
      <w:pPr>
        <w:tabs>
          <w:tab w:val="num" w:pos="1440"/>
        </w:tabs>
        <w:ind w:left="1440" w:hanging="360"/>
      </w:pPr>
      <w:rPr>
        <w:rFonts w:ascii="Wingdings" w:hAnsi="Wingdings" w:hint="default"/>
      </w:rPr>
    </w:lvl>
    <w:lvl w:ilvl="2" w:tplc="0FDA8ACA" w:tentative="1">
      <w:start w:val="1"/>
      <w:numFmt w:val="bullet"/>
      <w:lvlText w:val=""/>
      <w:lvlJc w:val="left"/>
      <w:pPr>
        <w:tabs>
          <w:tab w:val="num" w:pos="2160"/>
        </w:tabs>
        <w:ind w:left="2160" w:hanging="360"/>
      </w:pPr>
      <w:rPr>
        <w:rFonts w:ascii="Wingdings" w:hAnsi="Wingdings" w:hint="default"/>
      </w:rPr>
    </w:lvl>
    <w:lvl w:ilvl="3" w:tplc="CC2A2342" w:tentative="1">
      <w:start w:val="1"/>
      <w:numFmt w:val="bullet"/>
      <w:lvlText w:val=""/>
      <w:lvlJc w:val="left"/>
      <w:pPr>
        <w:tabs>
          <w:tab w:val="num" w:pos="2880"/>
        </w:tabs>
        <w:ind w:left="2880" w:hanging="360"/>
      </w:pPr>
      <w:rPr>
        <w:rFonts w:ascii="Wingdings" w:hAnsi="Wingdings" w:hint="default"/>
      </w:rPr>
    </w:lvl>
    <w:lvl w:ilvl="4" w:tplc="F00A7252" w:tentative="1">
      <w:start w:val="1"/>
      <w:numFmt w:val="bullet"/>
      <w:lvlText w:val=""/>
      <w:lvlJc w:val="left"/>
      <w:pPr>
        <w:tabs>
          <w:tab w:val="num" w:pos="3600"/>
        </w:tabs>
        <w:ind w:left="3600" w:hanging="360"/>
      </w:pPr>
      <w:rPr>
        <w:rFonts w:ascii="Wingdings" w:hAnsi="Wingdings" w:hint="default"/>
      </w:rPr>
    </w:lvl>
    <w:lvl w:ilvl="5" w:tplc="200A847A" w:tentative="1">
      <w:start w:val="1"/>
      <w:numFmt w:val="bullet"/>
      <w:lvlText w:val=""/>
      <w:lvlJc w:val="left"/>
      <w:pPr>
        <w:tabs>
          <w:tab w:val="num" w:pos="4320"/>
        </w:tabs>
        <w:ind w:left="4320" w:hanging="360"/>
      </w:pPr>
      <w:rPr>
        <w:rFonts w:ascii="Wingdings" w:hAnsi="Wingdings" w:hint="default"/>
      </w:rPr>
    </w:lvl>
    <w:lvl w:ilvl="6" w:tplc="A72E32D4" w:tentative="1">
      <w:start w:val="1"/>
      <w:numFmt w:val="bullet"/>
      <w:lvlText w:val=""/>
      <w:lvlJc w:val="left"/>
      <w:pPr>
        <w:tabs>
          <w:tab w:val="num" w:pos="5040"/>
        </w:tabs>
        <w:ind w:left="5040" w:hanging="360"/>
      </w:pPr>
      <w:rPr>
        <w:rFonts w:ascii="Wingdings" w:hAnsi="Wingdings" w:hint="default"/>
      </w:rPr>
    </w:lvl>
    <w:lvl w:ilvl="7" w:tplc="39609A30" w:tentative="1">
      <w:start w:val="1"/>
      <w:numFmt w:val="bullet"/>
      <w:lvlText w:val=""/>
      <w:lvlJc w:val="left"/>
      <w:pPr>
        <w:tabs>
          <w:tab w:val="num" w:pos="5760"/>
        </w:tabs>
        <w:ind w:left="5760" w:hanging="360"/>
      </w:pPr>
      <w:rPr>
        <w:rFonts w:ascii="Wingdings" w:hAnsi="Wingdings" w:hint="default"/>
      </w:rPr>
    </w:lvl>
    <w:lvl w:ilvl="8" w:tplc="9E023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7AD34FF5"/>
    <w:multiLevelType w:val="hybridMultilevel"/>
    <w:tmpl w:val="734A3EA6"/>
    <w:lvl w:ilvl="0" w:tplc="EF1C98A0">
      <w:start w:val="1"/>
      <w:numFmt w:val="bullet"/>
      <w:lvlText w:val=""/>
      <w:lvlJc w:val="left"/>
      <w:pPr>
        <w:tabs>
          <w:tab w:val="num" w:pos="720"/>
        </w:tabs>
        <w:ind w:left="720" w:hanging="360"/>
      </w:pPr>
      <w:rPr>
        <w:rFonts w:ascii="Wingdings" w:hAnsi="Wingdings" w:hint="default"/>
      </w:rPr>
    </w:lvl>
    <w:lvl w:ilvl="1" w:tplc="D1D0AA4E">
      <w:start w:val="1"/>
      <w:numFmt w:val="bullet"/>
      <w:lvlText w:val=""/>
      <w:lvlJc w:val="left"/>
      <w:pPr>
        <w:tabs>
          <w:tab w:val="num" w:pos="1440"/>
        </w:tabs>
        <w:ind w:left="1440" w:hanging="360"/>
      </w:pPr>
      <w:rPr>
        <w:rFonts w:ascii="Wingdings" w:hAnsi="Wingdings" w:hint="default"/>
      </w:rPr>
    </w:lvl>
    <w:lvl w:ilvl="2" w:tplc="E006CDC6" w:tentative="1">
      <w:start w:val="1"/>
      <w:numFmt w:val="bullet"/>
      <w:lvlText w:val=""/>
      <w:lvlJc w:val="left"/>
      <w:pPr>
        <w:tabs>
          <w:tab w:val="num" w:pos="2160"/>
        </w:tabs>
        <w:ind w:left="2160" w:hanging="360"/>
      </w:pPr>
      <w:rPr>
        <w:rFonts w:ascii="Wingdings" w:hAnsi="Wingdings" w:hint="default"/>
      </w:rPr>
    </w:lvl>
    <w:lvl w:ilvl="3" w:tplc="AD56547A" w:tentative="1">
      <w:start w:val="1"/>
      <w:numFmt w:val="bullet"/>
      <w:lvlText w:val=""/>
      <w:lvlJc w:val="left"/>
      <w:pPr>
        <w:tabs>
          <w:tab w:val="num" w:pos="2880"/>
        </w:tabs>
        <w:ind w:left="2880" w:hanging="360"/>
      </w:pPr>
      <w:rPr>
        <w:rFonts w:ascii="Wingdings" w:hAnsi="Wingdings" w:hint="default"/>
      </w:rPr>
    </w:lvl>
    <w:lvl w:ilvl="4" w:tplc="2C3428C8" w:tentative="1">
      <w:start w:val="1"/>
      <w:numFmt w:val="bullet"/>
      <w:lvlText w:val=""/>
      <w:lvlJc w:val="left"/>
      <w:pPr>
        <w:tabs>
          <w:tab w:val="num" w:pos="3600"/>
        </w:tabs>
        <w:ind w:left="3600" w:hanging="360"/>
      </w:pPr>
      <w:rPr>
        <w:rFonts w:ascii="Wingdings" w:hAnsi="Wingdings" w:hint="default"/>
      </w:rPr>
    </w:lvl>
    <w:lvl w:ilvl="5" w:tplc="CA4E8936" w:tentative="1">
      <w:start w:val="1"/>
      <w:numFmt w:val="bullet"/>
      <w:lvlText w:val=""/>
      <w:lvlJc w:val="left"/>
      <w:pPr>
        <w:tabs>
          <w:tab w:val="num" w:pos="4320"/>
        </w:tabs>
        <w:ind w:left="4320" w:hanging="360"/>
      </w:pPr>
      <w:rPr>
        <w:rFonts w:ascii="Wingdings" w:hAnsi="Wingdings" w:hint="default"/>
      </w:rPr>
    </w:lvl>
    <w:lvl w:ilvl="6" w:tplc="499A0A94" w:tentative="1">
      <w:start w:val="1"/>
      <w:numFmt w:val="bullet"/>
      <w:lvlText w:val=""/>
      <w:lvlJc w:val="left"/>
      <w:pPr>
        <w:tabs>
          <w:tab w:val="num" w:pos="5040"/>
        </w:tabs>
        <w:ind w:left="5040" w:hanging="360"/>
      </w:pPr>
      <w:rPr>
        <w:rFonts w:ascii="Wingdings" w:hAnsi="Wingdings" w:hint="default"/>
      </w:rPr>
    </w:lvl>
    <w:lvl w:ilvl="7" w:tplc="4B6A719E" w:tentative="1">
      <w:start w:val="1"/>
      <w:numFmt w:val="bullet"/>
      <w:lvlText w:val=""/>
      <w:lvlJc w:val="left"/>
      <w:pPr>
        <w:tabs>
          <w:tab w:val="num" w:pos="5760"/>
        </w:tabs>
        <w:ind w:left="5760" w:hanging="360"/>
      </w:pPr>
      <w:rPr>
        <w:rFonts w:ascii="Wingdings" w:hAnsi="Wingdings" w:hint="default"/>
      </w:rPr>
    </w:lvl>
    <w:lvl w:ilvl="8" w:tplc="278A41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14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F83B1A"/>
    <w:rsid w:val="00023F91"/>
    <w:rsid w:val="000253A3"/>
    <w:rsid w:val="00025412"/>
    <w:rsid w:val="00031809"/>
    <w:rsid w:val="0003273D"/>
    <w:rsid w:val="000336F1"/>
    <w:rsid w:val="00033A42"/>
    <w:rsid w:val="000357E6"/>
    <w:rsid w:val="00052634"/>
    <w:rsid w:val="00055171"/>
    <w:rsid w:val="00056937"/>
    <w:rsid w:val="00060C18"/>
    <w:rsid w:val="000614FA"/>
    <w:rsid w:val="000621B5"/>
    <w:rsid w:val="000645DB"/>
    <w:rsid w:val="00067BB7"/>
    <w:rsid w:val="00076098"/>
    <w:rsid w:val="000803BE"/>
    <w:rsid w:val="000819C7"/>
    <w:rsid w:val="00081A07"/>
    <w:rsid w:val="0008370B"/>
    <w:rsid w:val="00086329"/>
    <w:rsid w:val="00086460"/>
    <w:rsid w:val="0008752C"/>
    <w:rsid w:val="00091B12"/>
    <w:rsid w:val="00094639"/>
    <w:rsid w:val="00094E26"/>
    <w:rsid w:val="00095937"/>
    <w:rsid w:val="000A2E15"/>
    <w:rsid w:val="000B38AA"/>
    <w:rsid w:val="000B53F0"/>
    <w:rsid w:val="000D5221"/>
    <w:rsid w:val="000E347B"/>
    <w:rsid w:val="000E3502"/>
    <w:rsid w:val="000E4699"/>
    <w:rsid w:val="000E6D6E"/>
    <w:rsid w:val="000F3799"/>
    <w:rsid w:val="000F7631"/>
    <w:rsid w:val="00103960"/>
    <w:rsid w:val="001062A7"/>
    <w:rsid w:val="001078F9"/>
    <w:rsid w:val="0011005A"/>
    <w:rsid w:val="00112B04"/>
    <w:rsid w:val="00117081"/>
    <w:rsid w:val="001257B3"/>
    <w:rsid w:val="00136D6D"/>
    <w:rsid w:val="00150D7B"/>
    <w:rsid w:val="00150D9D"/>
    <w:rsid w:val="00154319"/>
    <w:rsid w:val="00154AA5"/>
    <w:rsid w:val="00175C7B"/>
    <w:rsid w:val="00182923"/>
    <w:rsid w:val="00183FFC"/>
    <w:rsid w:val="0018777A"/>
    <w:rsid w:val="0019171E"/>
    <w:rsid w:val="00191A68"/>
    <w:rsid w:val="001A251E"/>
    <w:rsid w:val="001B3ACF"/>
    <w:rsid w:val="001B72CB"/>
    <w:rsid w:val="001B76FD"/>
    <w:rsid w:val="001C01B2"/>
    <w:rsid w:val="001D1886"/>
    <w:rsid w:val="001D21CD"/>
    <w:rsid w:val="001D404E"/>
    <w:rsid w:val="001E02E3"/>
    <w:rsid w:val="001E04F1"/>
    <w:rsid w:val="001E78C9"/>
    <w:rsid w:val="0020701E"/>
    <w:rsid w:val="0021061F"/>
    <w:rsid w:val="002121CE"/>
    <w:rsid w:val="002241F7"/>
    <w:rsid w:val="00231FDA"/>
    <w:rsid w:val="0023542C"/>
    <w:rsid w:val="00237BB0"/>
    <w:rsid w:val="00247DDE"/>
    <w:rsid w:val="00263B91"/>
    <w:rsid w:val="00291C13"/>
    <w:rsid w:val="002978E4"/>
    <w:rsid w:val="002A70B0"/>
    <w:rsid w:val="002C646A"/>
    <w:rsid w:val="002D5E20"/>
    <w:rsid w:val="002E2BD9"/>
    <w:rsid w:val="002E7087"/>
    <w:rsid w:val="00305CAB"/>
    <w:rsid w:val="00313C92"/>
    <w:rsid w:val="003154FB"/>
    <w:rsid w:val="00342FA5"/>
    <w:rsid w:val="00350EE7"/>
    <w:rsid w:val="00351819"/>
    <w:rsid w:val="003519BD"/>
    <w:rsid w:val="00357EB8"/>
    <w:rsid w:val="00361145"/>
    <w:rsid w:val="00361249"/>
    <w:rsid w:val="00362A71"/>
    <w:rsid w:val="0037138B"/>
    <w:rsid w:val="00375CA7"/>
    <w:rsid w:val="003915B1"/>
    <w:rsid w:val="003B3912"/>
    <w:rsid w:val="003B74D1"/>
    <w:rsid w:val="003C1A38"/>
    <w:rsid w:val="003C22C6"/>
    <w:rsid w:val="003D4BEA"/>
    <w:rsid w:val="003D685B"/>
    <w:rsid w:val="003E74DD"/>
    <w:rsid w:val="003F3E32"/>
    <w:rsid w:val="003F48E3"/>
    <w:rsid w:val="0040185B"/>
    <w:rsid w:val="0041014C"/>
    <w:rsid w:val="00417721"/>
    <w:rsid w:val="00422DFC"/>
    <w:rsid w:val="004378BC"/>
    <w:rsid w:val="00444E91"/>
    <w:rsid w:val="0045477E"/>
    <w:rsid w:val="004644C0"/>
    <w:rsid w:val="00466B39"/>
    <w:rsid w:val="00474B5D"/>
    <w:rsid w:val="00476974"/>
    <w:rsid w:val="00477AED"/>
    <w:rsid w:val="00480BD0"/>
    <w:rsid w:val="00482B78"/>
    <w:rsid w:val="00485CFE"/>
    <w:rsid w:val="0048660A"/>
    <w:rsid w:val="004A40F9"/>
    <w:rsid w:val="004A5C5A"/>
    <w:rsid w:val="004B0C8B"/>
    <w:rsid w:val="004C1339"/>
    <w:rsid w:val="004D60D0"/>
    <w:rsid w:val="004F270C"/>
    <w:rsid w:val="004F3485"/>
    <w:rsid w:val="004F6F9A"/>
    <w:rsid w:val="005050AB"/>
    <w:rsid w:val="00505433"/>
    <w:rsid w:val="00513F25"/>
    <w:rsid w:val="005230D5"/>
    <w:rsid w:val="005308A4"/>
    <w:rsid w:val="00535FBF"/>
    <w:rsid w:val="00541753"/>
    <w:rsid w:val="00542E5E"/>
    <w:rsid w:val="00542E9F"/>
    <w:rsid w:val="00544DC1"/>
    <w:rsid w:val="00546905"/>
    <w:rsid w:val="005504B9"/>
    <w:rsid w:val="00551C85"/>
    <w:rsid w:val="00587512"/>
    <w:rsid w:val="00592484"/>
    <w:rsid w:val="0059758F"/>
    <w:rsid w:val="005A08C4"/>
    <w:rsid w:val="005A363B"/>
    <w:rsid w:val="005B2A7E"/>
    <w:rsid w:val="005B5F3C"/>
    <w:rsid w:val="005C06C9"/>
    <w:rsid w:val="005C0F17"/>
    <w:rsid w:val="005C711E"/>
    <w:rsid w:val="005D0E4D"/>
    <w:rsid w:val="005E4E93"/>
    <w:rsid w:val="005E5E77"/>
    <w:rsid w:val="005F6CDA"/>
    <w:rsid w:val="005F7744"/>
    <w:rsid w:val="00601C48"/>
    <w:rsid w:val="00603935"/>
    <w:rsid w:val="0060678F"/>
    <w:rsid w:val="006155E9"/>
    <w:rsid w:val="00620084"/>
    <w:rsid w:val="00620D76"/>
    <w:rsid w:val="006232B6"/>
    <w:rsid w:val="00626ED2"/>
    <w:rsid w:val="00640392"/>
    <w:rsid w:val="00640FEB"/>
    <w:rsid w:val="00644F5C"/>
    <w:rsid w:val="006463F5"/>
    <w:rsid w:val="006618F3"/>
    <w:rsid w:val="00671CEC"/>
    <w:rsid w:val="00677C9E"/>
    <w:rsid w:val="00683333"/>
    <w:rsid w:val="006949C6"/>
    <w:rsid w:val="006965C0"/>
    <w:rsid w:val="006A4BF4"/>
    <w:rsid w:val="006A78B4"/>
    <w:rsid w:val="006B71F9"/>
    <w:rsid w:val="006C0207"/>
    <w:rsid w:val="006C35EE"/>
    <w:rsid w:val="006D2F81"/>
    <w:rsid w:val="006D3CE3"/>
    <w:rsid w:val="006D5AAE"/>
    <w:rsid w:val="006D77F0"/>
    <w:rsid w:val="006E5305"/>
    <w:rsid w:val="006E74C3"/>
    <w:rsid w:val="006F0D6C"/>
    <w:rsid w:val="006F28FE"/>
    <w:rsid w:val="006F475C"/>
    <w:rsid w:val="00713CE5"/>
    <w:rsid w:val="0071584D"/>
    <w:rsid w:val="00723E76"/>
    <w:rsid w:val="0074060A"/>
    <w:rsid w:val="0074372C"/>
    <w:rsid w:val="007447AC"/>
    <w:rsid w:val="00747038"/>
    <w:rsid w:val="00757DFC"/>
    <w:rsid w:val="007605D2"/>
    <w:rsid w:val="0076268A"/>
    <w:rsid w:val="00763808"/>
    <w:rsid w:val="00764501"/>
    <w:rsid w:val="007658D0"/>
    <w:rsid w:val="00766BB4"/>
    <w:rsid w:val="00767054"/>
    <w:rsid w:val="00772F36"/>
    <w:rsid w:val="00790B8B"/>
    <w:rsid w:val="0079639A"/>
    <w:rsid w:val="007A275B"/>
    <w:rsid w:val="007A2BC4"/>
    <w:rsid w:val="007A6D3A"/>
    <w:rsid w:val="007C6B74"/>
    <w:rsid w:val="007D0CD4"/>
    <w:rsid w:val="007D223B"/>
    <w:rsid w:val="007D3527"/>
    <w:rsid w:val="007D626D"/>
    <w:rsid w:val="007E184D"/>
    <w:rsid w:val="007F2090"/>
    <w:rsid w:val="00817909"/>
    <w:rsid w:val="00821D4F"/>
    <w:rsid w:val="008264C1"/>
    <w:rsid w:val="00826F26"/>
    <w:rsid w:val="00842161"/>
    <w:rsid w:val="0084253E"/>
    <w:rsid w:val="0084589E"/>
    <w:rsid w:val="008527D6"/>
    <w:rsid w:val="00852CAD"/>
    <w:rsid w:val="008600A4"/>
    <w:rsid w:val="008673CD"/>
    <w:rsid w:val="00870A4E"/>
    <w:rsid w:val="008870E9"/>
    <w:rsid w:val="00891F2E"/>
    <w:rsid w:val="00892856"/>
    <w:rsid w:val="00894D15"/>
    <w:rsid w:val="008A20E3"/>
    <w:rsid w:val="008A6322"/>
    <w:rsid w:val="008A6B76"/>
    <w:rsid w:val="008B4452"/>
    <w:rsid w:val="008B4523"/>
    <w:rsid w:val="008C26B8"/>
    <w:rsid w:val="008C596F"/>
    <w:rsid w:val="008D04E5"/>
    <w:rsid w:val="008D7E4A"/>
    <w:rsid w:val="008E1829"/>
    <w:rsid w:val="008E271C"/>
    <w:rsid w:val="008E31E9"/>
    <w:rsid w:val="00902D2C"/>
    <w:rsid w:val="00903A85"/>
    <w:rsid w:val="00907366"/>
    <w:rsid w:val="00911828"/>
    <w:rsid w:val="00912731"/>
    <w:rsid w:val="00913BD3"/>
    <w:rsid w:val="00915B99"/>
    <w:rsid w:val="00921ACA"/>
    <w:rsid w:val="009239EF"/>
    <w:rsid w:val="00925E91"/>
    <w:rsid w:val="009312FF"/>
    <w:rsid w:val="0093172A"/>
    <w:rsid w:val="0093497A"/>
    <w:rsid w:val="0094084C"/>
    <w:rsid w:val="00941D0E"/>
    <w:rsid w:val="0094283A"/>
    <w:rsid w:val="009474FC"/>
    <w:rsid w:val="00947F4A"/>
    <w:rsid w:val="00951499"/>
    <w:rsid w:val="009751B5"/>
    <w:rsid w:val="00977B86"/>
    <w:rsid w:val="009803B4"/>
    <w:rsid w:val="00985A07"/>
    <w:rsid w:val="00987F6B"/>
    <w:rsid w:val="009907BF"/>
    <w:rsid w:val="0099244D"/>
    <w:rsid w:val="00993BE9"/>
    <w:rsid w:val="009A34CF"/>
    <w:rsid w:val="009A3547"/>
    <w:rsid w:val="009A4320"/>
    <w:rsid w:val="009A69D8"/>
    <w:rsid w:val="009B5B3E"/>
    <w:rsid w:val="009B75F6"/>
    <w:rsid w:val="009C0B5E"/>
    <w:rsid w:val="009E5D51"/>
    <w:rsid w:val="009F030C"/>
    <w:rsid w:val="009F3A8C"/>
    <w:rsid w:val="009F47FC"/>
    <w:rsid w:val="00A011BB"/>
    <w:rsid w:val="00A13C74"/>
    <w:rsid w:val="00A16F20"/>
    <w:rsid w:val="00A21B85"/>
    <w:rsid w:val="00A3172E"/>
    <w:rsid w:val="00A379CD"/>
    <w:rsid w:val="00A42FC3"/>
    <w:rsid w:val="00A431FD"/>
    <w:rsid w:val="00A560C1"/>
    <w:rsid w:val="00A60673"/>
    <w:rsid w:val="00A84E06"/>
    <w:rsid w:val="00A90648"/>
    <w:rsid w:val="00A90AE8"/>
    <w:rsid w:val="00A96018"/>
    <w:rsid w:val="00A9716E"/>
    <w:rsid w:val="00AA420B"/>
    <w:rsid w:val="00AA7290"/>
    <w:rsid w:val="00AB00B0"/>
    <w:rsid w:val="00AB24CA"/>
    <w:rsid w:val="00AC2ABF"/>
    <w:rsid w:val="00AC46F8"/>
    <w:rsid w:val="00AD5A60"/>
    <w:rsid w:val="00AE30D3"/>
    <w:rsid w:val="00AE52EC"/>
    <w:rsid w:val="00AF3F0E"/>
    <w:rsid w:val="00AF4217"/>
    <w:rsid w:val="00B032E9"/>
    <w:rsid w:val="00B17D80"/>
    <w:rsid w:val="00B21DD9"/>
    <w:rsid w:val="00B35982"/>
    <w:rsid w:val="00B4087A"/>
    <w:rsid w:val="00B41666"/>
    <w:rsid w:val="00B420BE"/>
    <w:rsid w:val="00B44A7C"/>
    <w:rsid w:val="00B62CD0"/>
    <w:rsid w:val="00B63E3B"/>
    <w:rsid w:val="00B74FC3"/>
    <w:rsid w:val="00B77FAD"/>
    <w:rsid w:val="00B84434"/>
    <w:rsid w:val="00B8770B"/>
    <w:rsid w:val="00B965A2"/>
    <w:rsid w:val="00BA5038"/>
    <w:rsid w:val="00BA5BE3"/>
    <w:rsid w:val="00BB61F6"/>
    <w:rsid w:val="00BC00BD"/>
    <w:rsid w:val="00BC0BE0"/>
    <w:rsid w:val="00BD1643"/>
    <w:rsid w:val="00BD6A63"/>
    <w:rsid w:val="00BE0334"/>
    <w:rsid w:val="00BE1EC5"/>
    <w:rsid w:val="00BE30BB"/>
    <w:rsid w:val="00C06963"/>
    <w:rsid w:val="00C10466"/>
    <w:rsid w:val="00C13682"/>
    <w:rsid w:val="00C14270"/>
    <w:rsid w:val="00C15B80"/>
    <w:rsid w:val="00C2772C"/>
    <w:rsid w:val="00C334A7"/>
    <w:rsid w:val="00C337D4"/>
    <w:rsid w:val="00C46C02"/>
    <w:rsid w:val="00C52F42"/>
    <w:rsid w:val="00C6022D"/>
    <w:rsid w:val="00C6147D"/>
    <w:rsid w:val="00C660EB"/>
    <w:rsid w:val="00C66D89"/>
    <w:rsid w:val="00C750AB"/>
    <w:rsid w:val="00C75960"/>
    <w:rsid w:val="00C75BDA"/>
    <w:rsid w:val="00C77B44"/>
    <w:rsid w:val="00C922D4"/>
    <w:rsid w:val="00C93FAA"/>
    <w:rsid w:val="00C95D4E"/>
    <w:rsid w:val="00CA0611"/>
    <w:rsid w:val="00CA46B3"/>
    <w:rsid w:val="00CA554D"/>
    <w:rsid w:val="00CB26F5"/>
    <w:rsid w:val="00CB71DD"/>
    <w:rsid w:val="00CC0987"/>
    <w:rsid w:val="00CC5085"/>
    <w:rsid w:val="00CE467A"/>
    <w:rsid w:val="00CE4921"/>
    <w:rsid w:val="00CE7CF9"/>
    <w:rsid w:val="00CF195F"/>
    <w:rsid w:val="00CF6CA8"/>
    <w:rsid w:val="00D1198B"/>
    <w:rsid w:val="00D15D4E"/>
    <w:rsid w:val="00D20FFE"/>
    <w:rsid w:val="00D30A93"/>
    <w:rsid w:val="00D33745"/>
    <w:rsid w:val="00D341A4"/>
    <w:rsid w:val="00D3716C"/>
    <w:rsid w:val="00D42117"/>
    <w:rsid w:val="00D45A83"/>
    <w:rsid w:val="00D47368"/>
    <w:rsid w:val="00D57F32"/>
    <w:rsid w:val="00D60566"/>
    <w:rsid w:val="00D63994"/>
    <w:rsid w:val="00D63B7D"/>
    <w:rsid w:val="00D66F87"/>
    <w:rsid w:val="00D67845"/>
    <w:rsid w:val="00D7394E"/>
    <w:rsid w:val="00D749E3"/>
    <w:rsid w:val="00D74D52"/>
    <w:rsid w:val="00D80B29"/>
    <w:rsid w:val="00D81816"/>
    <w:rsid w:val="00D90D91"/>
    <w:rsid w:val="00D94140"/>
    <w:rsid w:val="00DA1381"/>
    <w:rsid w:val="00DA70AC"/>
    <w:rsid w:val="00DB147E"/>
    <w:rsid w:val="00DB3B6C"/>
    <w:rsid w:val="00DC4B38"/>
    <w:rsid w:val="00DC6AE2"/>
    <w:rsid w:val="00DE0226"/>
    <w:rsid w:val="00DE0389"/>
    <w:rsid w:val="00DE57BE"/>
    <w:rsid w:val="00DF125D"/>
    <w:rsid w:val="00DF4920"/>
    <w:rsid w:val="00DF563F"/>
    <w:rsid w:val="00E01BD1"/>
    <w:rsid w:val="00E14A2C"/>
    <w:rsid w:val="00E14F1F"/>
    <w:rsid w:val="00E20DC2"/>
    <w:rsid w:val="00E31ED6"/>
    <w:rsid w:val="00E43344"/>
    <w:rsid w:val="00E44707"/>
    <w:rsid w:val="00E471E5"/>
    <w:rsid w:val="00E53AAA"/>
    <w:rsid w:val="00E56307"/>
    <w:rsid w:val="00E56CF1"/>
    <w:rsid w:val="00E57C29"/>
    <w:rsid w:val="00E63F1B"/>
    <w:rsid w:val="00E83B1D"/>
    <w:rsid w:val="00E84896"/>
    <w:rsid w:val="00E84FAA"/>
    <w:rsid w:val="00E921CF"/>
    <w:rsid w:val="00E93B02"/>
    <w:rsid w:val="00EA0E4D"/>
    <w:rsid w:val="00EB1558"/>
    <w:rsid w:val="00EB68FF"/>
    <w:rsid w:val="00EC5A67"/>
    <w:rsid w:val="00EC6E55"/>
    <w:rsid w:val="00EE6E63"/>
    <w:rsid w:val="00EF1DB8"/>
    <w:rsid w:val="00F050D4"/>
    <w:rsid w:val="00F05BDF"/>
    <w:rsid w:val="00F12427"/>
    <w:rsid w:val="00F12E57"/>
    <w:rsid w:val="00F16A96"/>
    <w:rsid w:val="00F251F9"/>
    <w:rsid w:val="00F26475"/>
    <w:rsid w:val="00F26B92"/>
    <w:rsid w:val="00F26D1B"/>
    <w:rsid w:val="00F32391"/>
    <w:rsid w:val="00F32BD2"/>
    <w:rsid w:val="00F3418A"/>
    <w:rsid w:val="00F37A93"/>
    <w:rsid w:val="00F507C2"/>
    <w:rsid w:val="00F53896"/>
    <w:rsid w:val="00F55107"/>
    <w:rsid w:val="00F625D3"/>
    <w:rsid w:val="00F7390E"/>
    <w:rsid w:val="00F7603E"/>
    <w:rsid w:val="00F83B1A"/>
    <w:rsid w:val="00F84FE0"/>
    <w:rsid w:val="00FA43ED"/>
    <w:rsid w:val="00FB5E0D"/>
    <w:rsid w:val="00FC2E43"/>
    <w:rsid w:val="00FC35A4"/>
    <w:rsid w:val="00FC7C46"/>
    <w:rsid w:val="00FD3F68"/>
    <w:rsid w:val="00FF00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docId w15:val="{2BF27BE8-22DF-487C-9286-1BDBC2BC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160245950">
      <w:bodyDiv w:val="1"/>
      <w:marLeft w:val="0"/>
      <w:marRight w:val="0"/>
      <w:marTop w:val="0"/>
      <w:marBottom w:val="0"/>
      <w:divBdr>
        <w:top w:val="none" w:sz="0" w:space="0" w:color="auto"/>
        <w:left w:val="none" w:sz="0" w:space="0" w:color="auto"/>
        <w:bottom w:val="none" w:sz="0" w:space="0" w:color="auto"/>
        <w:right w:val="none" w:sz="0" w:space="0" w:color="auto"/>
      </w:divBdr>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35634523">
      <w:bodyDiv w:val="1"/>
      <w:marLeft w:val="0"/>
      <w:marRight w:val="0"/>
      <w:marTop w:val="0"/>
      <w:marBottom w:val="0"/>
      <w:divBdr>
        <w:top w:val="none" w:sz="0" w:space="0" w:color="auto"/>
        <w:left w:val="none" w:sz="0" w:space="0" w:color="auto"/>
        <w:bottom w:val="none" w:sz="0" w:space="0" w:color="auto"/>
        <w:right w:val="none" w:sz="0" w:space="0" w:color="auto"/>
      </w:divBdr>
      <w:divsChild>
        <w:div w:id="1564682386">
          <w:marLeft w:val="1166"/>
          <w:marRight w:val="0"/>
          <w:marTop w:val="0"/>
          <w:marBottom w:val="0"/>
          <w:divBdr>
            <w:top w:val="none" w:sz="0" w:space="0" w:color="auto"/>
            <w:left w:val="none" w:sz="0" w:space="0" w:color="auto"/>
            <w:bottom w:val="none" w:sz="0" w:space="0" w:color="auto"/>
            <w:right w:val="none" w:sz="0" w:space="0" w:color="auto"/>
          </w:divBdr>
        </w:div>
        <w:div w:id="1561789476">
          <w:marLeft w:val="1166"/>
          <w:marRight w:val="0"/>
          <w:marTop w:val="0"/>
          <w:marBottom w:val="0"/>
          <w:divBdr>
            <w:top w:val="none" w:sz="0" w:space="0" w:color="auto"/>
            <w:left w:val="none" w:sz="0" w:space="0" w:color="auto"/>
            <w:bottom w:val="none" w:sz="0" w:space="0" w:color="auto"/>
            <w:right w:val="none" w:sz="0" w:space="0" w:color="auto"/>
          </w:divBdr>
        </w:div>
        <w:div w:id="618151140">
          <w:marLeft w:val="1166"/>
          <w:marRight w:val="0"/>
          <w:marTop w:val="0"/>
          <w:marBottom w:val="0"/>
          <w:divBdr>
            <w:top w:val="none" w:sz="0" w:space="0" w:color="auto"/>
            <w:left w:val="none" w:sz="0" w:space="0" w:color="auto"/>
            <w:bottom w:val="none" w:sz="0" w:space="0" w:color="auto"/>
            <w:right w:val="none" w:sz="0" w:space="0" w:color="auto"/>
          </w:divBdr>
        </w:div>
      </w:divsChild>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522205534">
      <w:bodyDiv w:val="1"/>
      <w:marLeft w:val="0"/>
      <w:marRight w:val="0"/>
      <w:marTop w:val="0"/>
      <w:marBottom w:val="0"/>
      <w:divBdr>
        <w:top w:val="none" w:sz="0" w:space="0" w:color="auto"/>
        <w:left w:val="none" w:sz="0" w:space="0" w:color="auto"/>
        <w:bottom w:val="none" w:sz="0" w:space="0" w:color="auto"/>
        <w:right w:val="none" w:sz="0" w:space="0" w:color="auto"/>
      </w:divBdr>
    </w:div>
    <w:div w:id="551621286">
      <w:bodyDiv w:val="1"/>
      <w:marLeft w:val="0"/>
      <w:marRight w:val="0"/>
      <w:marTop w:val="0"/>
      <w:marBottom w:val="0"/>
      <w:divBdr>
        <w:top w:val="none" w:sz="0" w:space="0" w:color="auto"/>
        <w:left w:val="none" w:sz="0" w:space="0" w:color="auto"/>
        <w:bottom w:val="none" w:sz="0" w:space="0" w:color="auto"/>
        <w:right w:val="none" w:sz="0" w:space="0" w:color="auto"/>
      </w:divBdr>
    </w:div>
    <w:div w:id="673263794">
      <w:bodyDiv w:val="1"/>
      <w:marLeft w:val="0"/>
      <w:marRight w:val="0"/>
      <w:marTop w:val="0"/>
      <w:marBottom w:val="0"/>
      <w:divBdr>
        <w:top w:val="none" w:sz="0" w:space="0" w:color="auto"/>
        <w:left w:val="none" w:sz="0" w:space="0" w:color="auto"/>
        <w:bottom w:val="none" w:sz="0" w:space="0" w:color="auto"/>
        <w:right w:val="none" w:sz="0" w:space="0" w:color="auto"/>
      </w:divBdr>
    </w:div>
    <w:div w:id="818764277">
      <w:bodyDiv w:val="1"/>
      <w:marLeft w:val="0"/>
      <w:marRight w:val="0"/>
      <w:marTop w:val="0"/>
      <w:marBottom w:val="0"/>
      <w:divBdr>
        <w:top w:val="none" w:sz="0" w:space="0" w:color="auto"/>
        <w:left w:val="none" w:sz="0" w:space="0" w:color="auto"/>
        <w:bottom w:val="none" w:sz="0" w:space="0" w:color="auto"/>
        <w:right w:val="none" w:sz="0" w:space="0" w:color="auto"/>
      </w:divBdr>
    </w:div>
    <w:div w:id="884605443">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956063716">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72260998">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80062151">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479565397">
      <w:bodyDiv w:val="1"/>
      <w:marLeft w:val="0"/>
      <w:marRight w:val="0"/>
      <w:marTop w:val="0"/>
      <w:marBottom w:val="0"/>
      <w:divBdr>
        <w:top w:val="none" w:sz="0" w:space="0" w:color="auto"/>
        <w:left w:val="none" w:sz="0" w:space="0" w:color="auto"/>
        <w:bottom w:val="none" w:sz="0" w:space="0" w:color="auto"/>
        <w:right w:val="none" w:sz="0" w:space="0" w:color="auto"/>
      </w:divBdr>
      <w:divsChild>
        <w:div w:id="716969552">
          <w:marLeft w:val="1166"/>
          <w:marRight w:val="0"/>
          <w:marTop w:val="0"/>
          <w:marBottom w:val="0"/>
          <w:divBdr>
            <w:top w:val="none" w:sz="0" w:space="0" w:color="auto"/>
            <w:left w:val="none" w:sz="0" w:space="0" w:color="auto"/>
            <w:bottom w:val="none" w:sz="0" w:space="0" w:color="auto"/>
            <w:right w:val="none" w:sz="0" w:space="0" w:color="auto"/>
          </w:divBdr>
        </w:div>
        <w:div w:id="1784300994">
          <w:marLeft w:val="1166"/>
          <w:marRight w:val="0"/>
          <w:marTop w:val="0"/>
          <w:marBottom w:val="0"/>
          <w:divBdr>
            <w:top w:val="none" w:sz="0" w:space="0" w:color="auto"/>
            <w:left w:val="none" w:sz="0" w:space="0" w:color="auto"/>
            <w:bottom w:val="none" w:sz="0" w:space="0" w:color="auto"/>
            <w:right w:val="none" w:sz="0" w:space="0" w:color="auto"/>
          </w:divBdr>
        </w:div>
        <w:div w:id="999192802">
          <w:marLeft w:val="1166"/>
          <w:marRight w:val="0"/>
          <w:marTop w:val="0"/>
          <w:marBottom w:val="0"/>
          <w:divBdr>
            <w:top w:val="none" w:sz="0" w:space="0" w:color="auto"/>
            <w:left w:val="none" w:sz="0" w:space="0" w:color="auto"/>
            <w:bottom w:val="none" w:sz="0" w:space="0" w:color="auto"/>
            <w:right w:val="none" w:sz="0" w:space="0" w:color="auto"/>
          </w:divBdr>
        </w:div>
        <w:div w:id="1879732314">
          <w:marLeft w:val="1166"/>
          <w:marRight w:val="0"/>
          <w:marTop w:val="0"/>
          <w:marBottom w:val="0"/>
          <w:divBdr>
            <w:top w:val="none" w:sz="0" w:space="0" w:color="auto"/>
            <w:left w:val="none" w:sz="0" w:space="0" w:color="auto"/>
            <w:bottom w:val="none" w:sz="0" w:space="0" w:color="auto"/>
            <w:right w:val="none" w:sz="0" w:space="0" w:color="auto"/>
          </w:divBdr>
        </w:div>
      </w:divsChild>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60455509">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eg.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uk-enquiry@weg.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giudici@technical-group.com"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8D63-5020-4299-9DE2-9E579B72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3</Pages>
  <Words>628</Words>
  <Characters>3961</Characters>
  <Application>Microsoft Office Word</Application>
  <DocSecurity>0</DocSecurity>
  <Lines>33</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4580</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7</cp:revision>
  <cp:lastPrinted>2016-10-21T12:09:00Z</cp:lastPrinted>
  <dcterms:created xsi:type="dcterms:W3CDTF">2016-10-21T13:38:00Z</dcterms:created>
  <dcterms:modified xsi:type="dcterms:W3CDTF">2017-01-05T10:04:00Z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