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86ABE" w14:textId="77777777" w:rsidR="009D49C2" w:rsidRDefault="009D49C2">
      <w:pPr>
        <w:jc w:val="both"/>
        <w:rPr>
          <w:b/>
          <w:sz w:val="24"/>
          <w:szCs w:val="24"/>
        </w:rPr>
      </w:pPr>
    </w:p>
    <w:p w14:paraId="14B3C86D" w14:textId="576DDE12" w:rsidR="009D49C2" w:rsidRDefault="0027700C" w:rsidP="009D49C2">
      <w:pPr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WEG </w:t>
      </w:r>
      <w:r w:rsidR="005B57FE">
        <w:rPr>
          <w:b/>
          <w:sz w:val="24"/>
        </w:rPr>
        <w:t xml:space="preserve">introduces </w:t>
      </w:r>
      <w:r w:rsidR="009D49C2">
        <w:rPr>
          <w:b/>
          <w:sz w:val="24"/>
        </w:rPr>
        <w:t>IE3-compliant motor switching and protection</w:t>
      </w:r>
      <w:r>
        <w:rPr>
          <w:b/>
          <w:sz w:val="24"/>
        </w:rPr>
        <w:t xml:space="preserve"> solutions </w:t>
      </w:r>
    </w:p>
    <w:p w14:paraId="7B682D8A" w14:textId="4DB8C91D" w:rsidR="009D49C2" w:rsidRPr="00A62A0C" w:rsidRDefault="009D49C2" w:rsidP="009D49C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62A0C">
        <w:rPr>
          <w:rFonts w:asciiTheme="minorHAnsi" w:hAnsiTheme="minorHAnsi" w:cstheme="minorHAnsi"/>
        </w:rPr>
        <w:t>WEG</w:t>
      </w:r>
      <w:r w:rsidR="00231B78" w:rsidRPr="00A62A0C">
        <w:rPr>
          <w:rFonts w:asciiTheme="minorHAnsi" w:hAnsiTheme="minorHAnsi" w:cstheme="minorHAnsi"/>
        </w:rPr>
        <w:t xml:space="preserve">, </w:t>
      </w:r>
      <w:r w:rsidR="00231B78" w:rsidRPr="00A62A0C">
        <w:rPr>
          <w:rFonts w:asciiTheme="minorHAnsi" w:hAnsiTheme="minorHAnsi" w:cstheme="minorHAnsi"/>
          <w:color w:val="000000"/>
        </w:rPr>
        <w:t xml:space="preserve">a leading </w:t>
      </w:r>
      <w:r w:rsidR="002C2E9F">
        <w:rPr>
          <w:rFonts w:asciiTheme="minorHAnsi" w:hAnsiTheme="minorHAnsi" w:cstheme="minorHAnsi"/>
          <w:color w:val="000000"/>
        </w:rPr>
        <w:t>manufacturer</w:t>
      </w:r>
      <w:r w:rsidR="00231B78" w:rsidRPr="00A62A0C">
        <w:rPr>
          <w:rFonts w:asciiTheme="minorHAnsi" w:hAnsiTheme="minorHAnsi" w:cstheme="minorHAnsi"/>
          <w:color w:val="000000"/>
        </w:rPr>
        <w:t xml:space="preserve"> of drive technology,</w:t>
      </w:r>
      <w:r w:rsidR="002155AA" w:rsidRPr="00A62A0C">
        <w:rPr>
          <w:rFonts w:asciiTheme="minorHAnsi" w:hAnsiTheme="minorHAnsi" w:cstheme="minorHAnsi"/>
        </w:rPr>
        <w:t xml:space="preserve"> </w:t>
      </w:r>
      <w:r w:rsidR="0027700C" w:rsidRPr="00A62A0C">
        <w:rPr>
          <w:rFonts w:asciiTheme="minorHAnsi" w:hAnsiTheme="minorHAnsi" w:cstheme="minorHAnsi"/>
        </w:rPr>
        <w:t xml:space="preserve">has developed IE3-compliant </w:t>
      </w:r>
      <w:r w:rsidRPr="00A62A0C">
        <w:rPr>
          <w:rFonts w:asciiTheme="minorHAnsi" w:hAnsiTheme="minorHAnsi" w:cstheme="minorHAnsi"/>
        </w:rPr>
        <w:t>switchgea</w:t>
      </w:r>
      <w:r w:rsidR="00231B78" w:rsidRPr="00A62A0C">
        <w:rPr>
          <w:rFonts w:asciiTheme="minorHAnsi" w:hAnsiTheme="minorHAnsi" w:cstheme="minorHAnsi"/>
        </w:rPr>
        <w:t>rs to</w:t>
      </w:r>
      <w:r w:rsidRPr="00A62A0C">
        <w:rPr>
          <w:rFonts w:asciiTheme="minorHAnsi" w:hAnsiTheme="minorHAnsi" w:cstheme="minorHAnsi"/>
        </w:rPr>
        <w:t xml:space="preserve"> </w:t>
      </w:r>
      <w:r w:rsidR="00AE0255" w:rsidRPr="00A62A0C">
        <w:rPr>
          <w:rFonts w:asciiTheme="minorHAnsi" w:hAnsiTheme="minorHAnsi" w:cstheme="minorHAnsi"/>
        </w:rPr>
        <w:t>ensure</w:t>
      </w:r>
      <w:r w:rsidR="005B57FE" w:rsidRPr="00A62A0C">
        <w:rPr>
          <w:rFonts w:asciiTheme="minorHAnsi" w:hAnsiTheme="minorHAnsi" w:cstheme="minorHAnsi"/>
        </w:rPr>
        <w:t xml:space="preserve"> excellent</w:t>
      </w:r>
      <w:r w:rsidR="00AE0255" w:rsidRPr="00A62A0C">
        <w:rPr>
          <w:rFonts w:asciiTheme="minorHAnsi" w:hAnsiTheme="minorHAnsi" w:cstheme="minorHAnsi"/>
        </w:rPr>
        <w:t xml:space="preserve"> reliability when operating</w:t>
      </w:r>
      <w:r w:rsidR="002155AA" w:rsidRPr="00A62A0C">
        <w:rPr>
          <w:rFonts w:asciiTheme="minorHAnsi" w:hAnsiTheme="minorHAnsi" w:cstheme="minorHAnsi"/>
        </w:rPr>
        <w:t xml:space="preserve"> </w:t>
      </w:r>
      <w:r w:rsidR="00AE0255" w:rsidRPr="00A62A0C">
        <w:rPr>
          <w:rFonts w:asciiTheme="minorHAnsi" w:hAnsiTheme="minorHAnsi" w:cstheme="minorHAnsi"/>
        </w:rPr>
        <w:t xml:space="preserve">IE3 </w:t>
      </w:r>
      <w:r w:rsidRPr="00A62A0C">
        <w:rPr>
          <w:rFonts w:asciiTheme="minorHAnsi" w:hAnsiTheme="minorHAnsi" w:cstheme="minorHAnsi"/>
        </w:rPr>
        <w:t>high-efficiency motors, despite higher inrush currents compared to IE2 motors.</w:t>
      </w:r>
      <w:r w:rsidR="005B57FE" w:rsidRPr="00A62A0C">
        <w:rPr>
          <w:rFonts w:asciiTheme="minorHAnsi" w:hAnsiTheme="minorHAnsi" w:cstheme="minorHAnsi"/>
        </w:rPr>
        <w:t xml:space="preserve">  As a result of using the </w:t>
      </w:r>
      <w:r w:rsidR="00AD6BDF" w:rsidRPr="00A62A0C">
        <w:rPr>
          <w:rFonts w:asciiTheme="minorHAnsi" w:hAnsiTheme="minorHAnsi" w:cstheme="minorHAnsi"/>
        </w:rPr>
        <w:t xml:space="preserve">new </w:t>
      </w:r>
      <w:r w:rsidR="005B57FE" w:rsidRPr="00A62A0C">
        <w:rPr>
          <w:rFonts w:asciiTheme="minorHAnsi" w:hAnsiTheme="minorHAnsi" w:cstheme="minorHAnsi"/>
        </w:rPr>
        <w:t>switchgear, users can be confident their drive system provides the highest levels of energy efficien</w:t>
      </w:r>
      <w:r w:rsidR="00AD6BDF" w:rsidRPr="00A62A0C">
        <w:rPr>
          <w:rFonts w:asciiTheme="minorHAnsi" w:hAnsiTheme="minorHAnsi" w:cstheme="minorHAnsi"/>
        </w:rPr>
        <w:t>cy over a long service life, enabling them t</w:t>
      </w:r>
      <w:r w:rsidR="00751F5C" w:rsidRPr="00A62A0C">
        <w:rPr>
          <w:rFonts w:asciiTheme="minorHAnsi" w:hAnsiTheme="minorHAnsi" w:cstheme="minorHAnsi"/>
        </w:rPr>
        <w:t xml:space="preserve">o reduce the total cost of ownership (TCO) while complying with current environmental regulations. </w:t>
      </w:r>
      <w:r w:rsidR="00AD6BDF" w:rsidRPr="00A62A0C">
        <w:rPr>
          <w:rFonts w:asciiTheme="minorHAnsi" w:hAnsiTheme="minorHAnsi" w:cstheme="minorHAnsi"/>
        </w:rPr>
        <w:t xml:space="preserve"> </w:t>
      </w:r>
    </w:p>
    <w:p w14:paraId="127FDF74" w14:textId="77777777" w:rsidR="0094751E" w:rsidRDefault="0094751E" w:rsidP="009D49C2">
      <w:pPr>
        <w:spacing w:after="0" w:line="360" w:lineRule="auto"/>
        <w:jc w:val="both"/>
      </w:pPr>
    </w:p>
    <w:p w14:paraId="3D8C3C4D" w14:textId="33B0AC97" w:rsidR="0094751E" w:rsidRDefault="0094751E" w:rsidP="0094751E">
      <w:pPr>
        <w:spacing w:after="0" w:line="360" w:lineRule="auto"/>
        <w:jc w:val="both"/>
        <w:rPr>
          <w:rFonts w:cs="Calibri"/>
        </w:rPr>
      </w:pPr>
      <w:r>
        <w:t>“Although using premium efficiency motors is now mandatory, the choice of low-voltage switchgear, such as motor protection circuit breakers, is still left to the user. To ensure reliable equipment operation despite higher inrush and starting currents</w:t>
      </w:r>
      <w:r w:rsidR="005B57FE">
        <w:t xml:space="preserve"> typically found in IE3 motors</w:t>
      </w:r>
      <w:r>
        <w:t xml:space="preserve">, users should always </w:t>
      </w:r>
      <w:r w:rsidR="008833E2">
        <w:t>consider</w:t>
      </w:r>
      <w:r>
        <w:t xml:space="preserve"> IE3 compatibility when selecting low-voltage switchgear”, says Zoltan </w:t>
      </w:r>
      <w:proofErr w:type="spellStart"/>
      <w:r>
        <w:t>Schaaf</w:t>
      </w:r>
      <w:proofErr w:type="spellEnd"/>
      <w:r>
        <w:t>, Manager Low Voltage Switchgear at WEG in Germany. “A</w:t>
      </w:r>
      <w:r w:rsidR="005B57FE">
        <w:t>s a</w:t>
      </w:r>
      <w:r>
        <w:t xml:space="preserve"> leading manufacturer of premium</w:t>
      </w:r>
      <w:r w:rsidR="005B57FE">
        <w:t xml:space="preserve"> (IE3)</w:t>
      </w:r>
      <w:r>
        <w:t xml:space="preserve"> and super-premium </w:t>
      </w:r>
      <w:r w:rsidR="005B57FE">
        <w:t xml:space="preserve">(IE4) </w:t>
      </w:r>
      <w:r>
        <w:t>electric motors, WEG has developed</w:t>
      </w:r>
      <w:r w:rsidR="007B350B">
        <w:t xml:space="preserve"> extensive</w:t>
      </w:r>
      <w:r>
        <w:t xml:space="preserve"> expertise in IE3 equipment conformity and all of WEG's current switchgear and protection devices can be used without restriction to ensure the reliable operation of IE3 motors.” </w:t>
      </w:r>
    </w:p>
    <w:p w14:paraId="66A80A41" w14:textId="77777777" w:rsidR="009D49C2" w:rsidRDefault="009D49C2" w:rsidP="009D49C2">
      <w:pPr>
        <w:spacing w:after="0" w:line="360" w:lineRule="auto"/>
        <w:jc w:val="both"/>
        <w:rPr>
          <w:rFonts w:cs="Calibri"/>
        </w:rPr>
      </w:pPr>
      <w:r>
        <w:t xml:space="preserve"> </w:t>
      </w:r>
    </w:p>
    <w:p w14:paraId="0E3F9BF9" w14:textId="12076C4A" w:rsidR="009D49C2" w:rsidRDefault="0027700C" w:rsidP="009D49C2">
      <w:pPr>
        <w:spacing w:after="0" w:line="360" w:lineRule="auto"/>
        <w:jc w:val="both"/>
        <w:rPr>
          <w:rFonts w:cs="Calibri"/>
        </w:rPr>
      </w:pPr>
      <w:r>
        <w:t xml:space="preserve">With </w:t>
      </w:r>
      <w:r w:rsidR="009D49C2">
        <w:t>European Regulation 640/2009/EC</w:t>
      </w:r>
      <w:r>
        <w:t xml:space="preserve"> coming</w:t>
      </w:r>
      <w:r w:rsidR="002155AA">
        <w:t xml:space="preserve"> into force last January,</w:t>
      </w:r>
      <w:r w:rsidR="009D49C2">
        <w:t xml:space="preserve"> motors with rated power from 7.5 to 375 kW </w:t>
      </w:r>
      <w:r w:rsidR="008833E2">
        <w:t>sold</w:t>
      </w:r>
      <w:r w:rsidR="007B350B">
        <w:t xml:space="preserve"> in Europe</w:t>
      </w:r>
      <w:r w:rsidR="008833E2">
        <w:t xml:space="preserve"> </w:t>
      </w:r>
      <w:r w:rsidR="009D49C2">
        <w:t>must</w:t>
      </w:r>
      <w:r w:rsidR="008833E2">
        <w:t xml:space="preserve"> now</w:t>
      </w:r>
      <w:r>
        <w:t xml:space="preserve"> achieve</w:t>
      </w:r>
      <w:r w:rsidR="00AE0255">
        <w:t xml:space="preserve"> </w:t>
      </w:r>
      <w:r w:rsidR="008833E2">
        <w:t xml:space="preserve">at least </w:t>
      </w:r>
      <w:r w:rsidR="009D49C2">
        <w:t>IE3</w:t>
      </w:r>
      <w:r>
        <w:t xml:space="preserve"> energy efficiency levels</w:t>
      </w:r>
      <w:r w:rsidR="009D49C2">
        <w:t xml:space="preserve"> or IE2 </w:t>
      </w:r>
      <w:r>
        <w:t xml:space="preserve">standards </w:t>
      </w:r>
      <w:r w:rsidR="00823C63">
        <w:t>if</w:t>
      </w:r>
      <w:r>
        <w:t xml:space="preserve"> they are</w:t>
      </w:r>
      <w:r w:rsidR="00823C63">
        <w:t xml:space="preserve"> equipped with a </w:t>
      </w:r>
      <w:r w:rsidR="009D49C2">
        <w:t>variable speed drive.</w:t>
      </w:r>
      <w:r w:rsidR="002155AA">
        <w:t xml:space="preserve"> T</w:t>
      </w:r>
      <w:r w:rsidR="009D49C2">
        <w:t xml:space="preserve">o </w:t>
      </w:r>
      <w:r>
        <w:t xml:space="preserve">meet </w:t>
      </w:r>
      <w:r w:rsidR="005B57FE">
        <w:t xml:space="preserve">this </w:t>
      </w:r>
      <w:r>
        <w:t>challenge</w:t>
      </w:r>
      <w:r w:rsidR="00AE0255">
        <w:t>,</w:t>
      </w:r>
      <w:r w:rsidR="002155AA">
        <w:t xml:space="preserve"> motor manufacturers</w:t>
      </w:r>
      <w:r w:rsidR="009D49C2">
        <w:t xml:space="preserve"> </w:t>
      </w:r>
      <w:r w:rsidR="002155AA">
        <w:t>have</w:t>
      </w:r>
      <w:r w:rsidR="00620914">
        <w:t xml:space="preserve"> had</w:t>
      </w:r>
      <w:r w:rsidR="002155AA">
        <w:t xml:space="preserve"> to rethink </w:t>
      </w:r>
      <w:r w:rsidR="00620914">
        <w:t>their motors’ design</w:t>
      </w:r>
      <w:r w:rsidR="005B57FE">
        <w:t xml:space="preserve">, for example, by </w:t>
      </w:r>
      <w:r w:rsidR="00620914">
        <w:t xml:space="preserve">placing </w:t>
      </w:r>
      <w:r w:rsidR="009D49C2">
        <w:t>more copper mass in the stator</w:t>
      </w:r>
      <w:r w:rsidR="00620914">
        <w:t xml:space="preserve"> while developing</w:t>
      </w:r>
      <w:r w:rsidR="009D49C2">
        <w:t xml:space="preserve"> thinner silicon steel laminations in the iron cores, optimis</w:t>
      </w:r>
      <w:r w:rsidR="007B350B">
        <w:t>ing</w:t>
      </w:r>
      <w:r w:rsidR="009D49C2">
        <w:t xml:space="preserve"> air gaps, larger conductors in rotors and improv</w:t>
      </w:r>
      <w:r w:rsidR="007B350B">
        <w:t>ing</w:t>
      </w:r>
      <w:r w:rsidR="009D49C2">
        <w:t xml:space="preserve"> cooling systems. </w:t>
      </w:r>
      <w:r w:rsidR="00620914">
        <w:t>T</w:t>
      </w:r>
      <w:r w:rsidR="009D49C2">
        <w:t xml:space="preserve">hese changes make </w:t>
      </w:r>
      <w:r w:rsidR="00AE0255" w:rsidRPr="00AE0255">
        <w:t xml:space="preserve">IE3 motors </w:t>
      </w:r>
      <w:r w:rsidR="009D49C2">
        <w:t>more inductive</w:t>
      </w:r>
      <w:r w:rsidR="00620914">
        <w:t xml:space="preserve"> meaning</w:t>
      </w:r>
      <w:r w:rsidR="009D49C2">
        <w:t xml:space="preserve"> </w:t>
      </w:r>
      <w:r w:rsidR="00AE0255">
        <w:t xml:space="preserve">they </w:t>
      </w:r>
      <w:r w:rsidR="009D49C2">
        <w:t>usually have lower rated operating currents, higher inrush currents and higher starting currents than IE2 motors.</w:t>
      </w:r>
      <w:r w:rsidR="00AE0255">
        <w:t xml:space="preserve"> </w:t>
      </w:r>
      <w:r w:rsidR="0094751E" w:rsidRPr="0094751E">
        <w:t xml:space="preserve">WEG’s comparison tests with IE3 and IE2 motors having the same rated power have demonstrated that - in the lower power range - the starting current of </w:t>
      </w:r>
      <w:r w:rsidR="008833E2">
        <w:t>an</w:t>
      </w:r>
      <w:r w:rsidR="008833E2" w:rsidRPr="0094751E">
        <w:t xml:space="preserve"> </w:t>
      </w:r>
      <w:r w:rsidR="0094751E" w:rsidRPr="0094751E">
        <w:t xml:space="preserve">IE3 motor is about </w:t>
      </w:r>
      <w:r w:rsidR="008833E2">
        <w:t>five per cent</w:t>
      </w:r>
      <w:r w:rsidR="0094751E" w:rsidRPr="0094751E">
        <w:t xml:space="preserve"> higher and the peak inrush current about 20</w:t>
      </w:r>
      <w:r w:rsidR="008833E2">
        <w:t xml:space="preserve"> per cent</w:t>
      </w:r>
      <w:r w:rsidR="0094751E" w:rsidRPr="0094751E">
        <w:t xml:space="preserve"> higher</w:t>
      </w:r>
      <w:r w:rsidR="00751F5C">
        <w:t xml:space="preserve">. </w:t>
      </w:r>
    </w:p>
    <w:p w14:paraId="4F1BD55F" w14:textId="78C8803B" w:rsidR="009D49C2" w:rsidRDefault="009D49C2" w:rsidP="009D49C2">
      <w:pPr>
        <w:spacing w:after="0" w:line="360" w:lineRule="auto"/>
        <w:jc w:val="both"/>
        <w:rPr>
          <w:rFonts w:cs="Calibri"/>
        </w:rPr>
      </w:pPr>
      <w:r>
        <w:t xml:space="preserve"> </w:t>
      </w:r>
    </w:p>
    <w:p w14:paraId="79D579F8" w14:textId="6BD45A8D" w:rsidR="009D49C2" w:rsidRDefault="0094751E" w:rsidP="009D49C2">
      <w:pPr>
        <w:spacing w:after="0" w:line="360" w:lineRule="auto"/>
        <w:jc w:val="both"/>
        <w:rPr>
          <w:rFonts w:cs="Calibri"/>
        </w:rPr>
      </w:pPr>
      <w:r>
        <w:t>These t</w:t>
      </w:r>
      <w:r w:rsidR="0027700C">
        <w:t xml:space="preserve">ests </w:t>
      </w:r>
      <w:r w:rsidR="000F62EC">
        <w:t xml:space="preserve">also </w:t>
      </w:r>
      <w:r w:rsidR="0027700C">
        <w:t>demonstrate</w:t>
      </w:r>
      <w:r w:rsidR="000F62EC">
        <w:t>d</w:t>
      </w:r>
      <w:r w:rsidR="0027700C">
        <w:t xml:space="preserve"> that</w:t>
      </w:r>
      <w:r w:rsidR="009D49C2">
        <w:t xml:space="preserve"> </w:t>
      </w:r>
      <w:r w:rsidR="0027700C">
        <w:t>WE</w:t>
      </w:r>
      <w:r>
        <w:t>G</w:t>
      </w:r>
      <w:r w:rsidR="0027700C">
        <w:t>’s</w:t>
      </w:r>
      <w:r w:rsidR="009D49C2">
        <w:t xml:space="preserve"> motor protection relays in the RW series (bimetallic) and</w:t>
      </w:r>
      <w:r w:rsidR="008833E2">
        <w:t xml:space="preserve"> new</w:t>
      </w:r>
      <w:r w:rsidR="009D49C2">
        <w:t xml:space="preserve"> RW</w:t>
      </w:r>
      <w:r w:rsidR="008833E2">
        <w:softHyphen/>
        <w:t>_</w:t>
      </w:r>
      <w:r w:rsidR="009D49C2">
        <w:t>E</w:t>
      </w:r>
      <w:r w:rsidR="008833E2">
        <w:t xml:space="preserve"> series</w:t>
      </w:r>
      <w:r w:rsidR="009D49C2">
        <w:t xml:space="preserve"> (electronic)</w:t>
      </w:r>
      <w:r>
        <w:t xml:space="preserve"> </w:t>
      </w:r>
      <w:r w:rsidR="009D49C2">
        <w:t>are not affected by</w:t>
      </w:r>
      <w:r w:rsidR="0027700C">
        <w:t xml:space="preserve"> the IE3 motors’</w:t>
      </w:r>
      <w:r w:rsidR="009D49C2">
        <w:t xml:space="preserve"> higher starting or inrush currents.</w:t>
      </w:r>
      <w:r w:rsidR="00B40718">
        <w:t xml:space="preserve"> </w:t>
      </w:r>
      <w:r w:rsidR="00B40718">
        <w:lastRenderedPageBreak/>
        <w:t>Additionally,</w:t>
      </w:r>
      <w:r w:rsidR="009D49C2">
        <w:t xml:space="preserve"> WEG </w:t>
      </w:r>
      <w:r w:rsidR="00B40718">
        <w:t>has</w:t>
      </w:r>
      <w:r w:rsidR="009D49C2">
        <w:t xml:space="preserve"> upgraded </w:t>
      </w:r>
      <w:r w:rsidR="008833E2">
        <w:t xml:space="preserve">its </w:t>
      </w:r>
      <w:r w:rsidR="009D49C2">
        <w:t xml:space="preserve">CWM, CWC and CWB series of contactors to accommodate higher inrush and starting currents, without any adverse effect on </w:t>
      </w:r>
      <w:r w:rsidR="00AD6BDF">
        <w:t xml:space="preserve">the </w:t>
      </w:r>
      <w:r w:rsidR="009D49C2">
        <w:t xml:space="preserve">mechanical or electrical service life.  </w:t>
      </w:r>
    </w:p>
    <w:p w14:paraId="0DB524D8" w14:textId="77777777" w:rsidR="009D49C2" w:rsidRDefault="009D49C2" w:rsidP="009D49C2">
      <w:pPr>
        <w:spacing w:after="0" w:line="360" w:lineRule="auto"/>
        <w:jc w:val="both"/>
        <w:rPr>
          <w:rFonts w:cs="Calibri"/>
        </w:rPr>
      </w:pPr>
    </w:p>
    <w:p w14:paraId="79532EC8" w14:textId="64A493BC" w:rsidR="009D49C2" w:rsidRDefault="00B40718" w:rsidP="009D49C2">
      <w:pPr>
        <w:spacing w:after="0" w:line="360" w:lineRule="auto"/>
        <w:jc w:val="both"/>
        <w:rPr>
          <w:rFonts w:cs="Calibri"/>
        </w:rPr>
      </w:pPr>
      <w:r>
        <w:t>Of all</w:t>
      </w:r>
      <w:r w:rsidR="009D49C2">
        <w:t xml:space="preserve"> motor protection devices, motor protection circuit breakers are </w:t>
      </w:r>
      <w:r>
        <w:t>particularly exposed to</w:t>
      </w:r>
      <w:r w:rsidR="009D49C2">
        <w:t xml:space="preserve"> </w:t>
      </w:r>
      <w:r>
        <w:t xml:space="preserve">the </w:t>
      </w:r>
      <w:r w:rsidR="009D49C2">
        <w:t xml:space="preserve">higher inrush and starting currents of premium efficiency motors, due to their high sensitivity. </w:t>
      </w:r>
      <w:r>
        <w:t>With this in mind</w:t>
      </w:r>
      <w:r w:rsidR="009D49C2">
        <w:t xml:space="preserve">, </w:t>
      </w:r>
      <w:proofErr w:type="gramStart"/>
      <w:r w:rsidR="009D49C2">
        <w:t xml:space="preserve">WEG </w:t>
      </w:r>
      <w:r>
        <w:t xml:space="preserve"> has</w:t>
      </w:r>
      <w:proofErr w:type="gramEnd"/>
      <w:r>
        <w:t xml:space="preserve"> </w:t>
      </w:r>
      <w:r w:rsidR="009D49C2">
        <w:t>raise</w:t>
      </w:r>
      <w:r>
        <w:t>d</w:t>
      </w:r>
      <w:r w:rsidR="009D49C2">
        <w:t xml:space="preserve"> the trip level of </w:t>
      </w:r>
      <w:r w:rsidR="0027700C">
        <w:t>its</w:t>
      </w:r>
      <w:r w:rsidR="009D49C2">
        <w:t xml:space="preserve"> </w:t>
      </w:r>
      <w:r w:rsidRPr="00B40718">
        <w:t xml:space="preserve">MPW series of motor protection circuit breakers </w:t>
      </w:r>
      <w:r w:rsidR="009D49C2">
        <w:t>from 12 times to 13 times the ma</w:t>
      </w:r>
      <w:r w:rsidR="0055621C">
        <w:t>ximum rated operating current</w:t>
      </w:r>
      <w:r>
        <w:t xml:space="preserve"> to ensure </w:t>
      </w:r>
      <w:proofErr w:type="spellStart"/>
      <w:r>
        <w:t>IE3</w:t>
      </w:r>
      <w:proofErr w:type="spellEnd"/>
      <w:r>
        <w:t>-compliance</w:t>
      </w:r>
      <w:r w:rsidR="009D49C2">
        <w:t>.</w:t>
      </w:r>
      <w:r w:rsidR="00BC017D">
        <w:t xml:space="preserve"> With regard to the further development of energy efficient motors </w:t>
      </w:r>
      <w:proofErr w:type="spellStart"/>
      <w:r w:rsidR="00BC017D">
        <w:t>WEG</w:t>
      </w:r>
      <w:proofErr w:type="spellEnd"/>
      <w:r w:rsidR="00BC017D">
        <w:t xml:space="preserve"> will always provide its customers with motor protection circuit breakers and contactors compliant with the IE standards.</w:t>
      </w:r>
      <w:r w:rsidR="009D49C2">
        <w:t xml:space="preserve">  </w:t>
      </w:r>
    </w:p>
    <w:p w14:paraId="0736B754" w14:textId="77777777" w:rsidR="009D49C2" w:rsidRDefault="009D49C2" w:rsidP="009D49C2">
      <w:pPr>
        <w:spacing w:after="0" w:line="360" w:lineRule="auto"/>
        <w:jc w:val="both"/>
        <w:rPr>
          <w:rFonts w:cs="Calibri"/>
        </w:rPr>
      </w:pPr>
    </w:p>
    <w:p w14:paraId="1A82BD6C" w14:textId="4BB0A917" w:rsidR="00731F15" w:rsidRDefault="00731F15" w:rsidP="00731F15">
      <w:pPr>
        <w:spacing w:after="0" w:line="360" w:lineRule="auto"/>
        <w:jc w:val="both"/>
      </w:pPr>
      <w:r>
        <w:t xml:space="preserve">For further information </w:t>
      </w:r>
      <w:r w:rsidR="00460B6B">
        <w:t xml:space="preserve">on WEG </w:t>
      </w:r>
      <w:r>
        <w:t xml:space="preserve">visit </w:t>
      </w:r>
      <w:hyperlink r:id="rId9" w:history="1">
        <w:r w:rsidRPr="00D512CC">
          <w:rPr>
            <w:rStyle w:val="Hyperlink"/>
          </w:rPr>
          <w:t>www.weg.net</w:t>
        </w:r>
        <w:r w:rsidRPr="009743B1">
          <w:rPr>
            <w:rStyle w:val="Hyperlink"/>
          </w:rPr>
          <w:t>/uk</w:t>
        </w:r>
      </w:hyperlink>
      <w:r>
        <w:t xml:space="preserve">. </w:t>
      </w:r>
    </w:p>
    <w:p w14:paraId="2182C0A1" w14:textId="77777777" w:rsidR="00EF59A7" w:rsidRDefault="00EF59A7" w:rsidP="00731F15">
      <w:pPr>
        <w:spacing w:after="0" w:line="360" w:lineRule="auto"/>
        <w:jc w:val="both"/>
      </w:pPr>
    </w:p>
    <w:p w14:paraId="08D3FF4F" w14:textId="77777777" w:rsidR="00EF59A7" w:rsidRPr="00354EDE" w:rsidRDefault="00EF59A7" w:rsidP="00EF59A7">
      <w:pPr>
        <w:spacing w:after="0" w:line="360" w:lineRule="auto"/>
        <w:jc w:val="both"/>
        <w:rPr>
          <w:rFonts w:cs="Calibri"/>
          <w:b/>
        </w:rPr>
      </w:pPr>
      <w:r>
        <w:rPr>
          <w:b/>
        </w:rPr>
        <w:t>Image</w:t>
      </w:r>
      <w:r w:rsidRPr="00354EDE">
        <w:rPr>
          <w:b/>
        </w:rPr>
        <w:t xml:space="preserve"> caption:</w:t>
      </w:r>
    </w:p>
    <w:p w14:paraId="3024A4D3" w14:textId="77777777" w:rsidR="00EF59A7" w:rsidRDefault="00EF59A7" w:rsidP="00731F15">
      <w:pPr>
        <w:spacing w:after="0" w:line="360" w:lineRule="auto"/>
        <w:jc w:val="both"/>
      </w:pPr>
    </w:p>
    <w:p w14:paraId="0E70045A" w14:textId="710D633C" w:rsidR="00AD6BDF" w:rsidRDefault="00EF59A7" w:rsidP="009D49C2">
      <w:pPr>
        <w:spacing w:after="0" w:line="360" w:lineRule="auto"/>
        <w:jc w:val="both"/>
        <w:rPr>
          <w:rFonts w:cs="Calibri"/>
        </w:rPr>
      </w:pPr>
      <w:r>
        <w:rPr>
          <w:rFonts w:cs="Calibri"/>
          <w:b/>
          <w:noProof/>
          <w:lang w:val="de-DE" w:eastAsia="de-DE"/>
        </w:rPr>
        <w:drawing>
          <wp:inline distT="0" distB="0" distL="0" distR="0" wp14:anchorId="29A4D81E" wp14:editId="1B76C660">
            <wp:extent cx="1371600" cy="1284514"/>
            <wp:effectExtent l="0" t="0" r="0" b="0"/>
            <wp:docPr id="8" name="Grafik 8" descr="WEG3758_Bild1_1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G3758_Bild1_1_pre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30" cy="128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0855E" w14:textId="6B9C1288" w:rsidR="00EF59A7" w:rsidRPr="001665BD" w:rsidRDefault="00EF59A7" w:rsidP="00EF59A7">
      <w:pPr>
        <w:spacing w:after="0" w:line="360" w:lineRule="auto"/>
        <w:jc w:val="both"/>
        <w:rPr>
          <w:rFonts w:cs="Calibri"/>
          <w:color w:val="FF0000"/>
          <w:lang w:val="en-US"/>
        </w:rPr>
      </w:pPr>
      <w:r w:rsidRPr="001665BD">
        <w:rPr>
          <w:rFonts w:cs="Calibri"/>
          <w:b/>
          <w:lang w:val="en-US"/>
        </w:rPr>
        <w:t>WEG3758_Image1:</w:t>
      </w:r>
      <w:r w:rsidRPr="001665BD">
        <w:rPr>
          <w:rFonts w:cs="Calibri"/>
          <w:lang w:val="en-US"/>
        </w:rPr>
        <w:t xml:space="preserve"> </w:t>
      </w:r>
      <w:r w:rsidR="001665BD" w:rsidRPr="00BC017D">
        <w:rPr>
          <w:rFonts w:cs="Calibri"/>
          <w:lang w:val="en-US"/>
        </w:rPr>
        <w:t xml:space="preserve">To ensure reliable equipment operation despite higher inrush and starting currents typically found in </w:t>
      </w:r>
      <w:proofErr w:type="spellStart"/>
      <w:r w:rsidR="001665BD" w:rsidRPr="00BC017D">
        <w:rPr>
          <w:rFonts w:cs="Calibri"/>
          <w:lang w:val="en-US"/>
        </w:rPr>
        <w:t>IE3</w:t>
      </w:r>
      <w:proofErr w:type="spellEnd"/>
      <w:r w:rsidR="001665BD" w:rsidRPr="00BC017D">
        <w:rPr>
          <w:rFonts w:cs="Calibri"/>
          <w:lang w:val="en-US"/>
        </w:rPr>
        <w:t xml:space="preserve"> motors, users should always consider </w:t>
      </w:r>
      <w:proofErr w:type="spellStart"/>
      <w:r w:rsidR="001665BD" w:rsidRPr="00BC017D">
        <w:rPr>
          <w:rFonts w:cs="Calibri"/>
          <w:lang w:val="en-US"/>
        </w:rPr>
        <w:t>IE3</w:t>
      </w:r>
      <w:proofErr w:type="spellEnd"/>
      <w:r w:rsidR="001665BD" w:rsidRPr="00BC017D">
        <w:rPr>
          <w:rFonts w:cs="Calibri"/>
          <w:lang w:val="en-US"/>
        </w:rPr>
        <w:t xml:space="preserve"> compatibility when selecting low-voltage switchgear</w:t>
      </w:r>
    </w:p>
    <w:p w14:paraId="504723A3" w14:textId="77777777" w:rsidR="00EF59A7" w:rsidRPr="001665BD" w:rsidRDefault="00EF59A7" w:rsidP="00EF59A7">
      <w:pPr>
        <w:spacing w:after="0" w:line="360" w:lineRule="auto"/>
        <w:jc w:val="both"/>
        <w:rPr>
          <w:rFonts w:cs="Calibri"/>
          <w:color w:val="FF0000"/>
          <w:lang w:val="en-US"/>
        </w:rPr>
      </w:pPr>
    </w:p>
    <w:p w14:paraId="542F0B17" w14:textId="490C661A" w:rsidR="00EF59A7" w:rsidRPr="00E15A3F" w:rsidRDefault="00E15A3F" w:rsidP="00EF59A7">
      <w:pPr>
        <w:spacing w:after="0" w:line="360" w:lineRule="auto"/>
        <w:jc w:val="both"/>
        <w:rPr>
          <w:rFonts w:cs="Calibri"/>
          <w:color w:val="FF0000"/>
          <w:lang w:val="de-DE"/>
        </w:rPr>
      </w:pPr>
      <w:r w:rsidRPr="00E15A3F">
        <w:rPr>
          <w:rStyle w:val="Standard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rFonts w:cs="Calibri"/>
          <w:noProof/>
          <w:color w:val="FF0000"/>
          <w:lang w:val="de-DE" w:eastAsia="de-DE"/>
        </w:rPr>
        <w:drawing>
          <wp:inline distT="0" distB="0" distL="0" distR="0" wp14:anchorId="72C4B1F8" wp14:editId="18967F16">
            <wp:extent cx="2014779" cy="1188720"/>
            <wp:effectExtent l="0" t="0" r="5080" b="0"/>
            <wp:docPr id="9" name="Grafik 9" descr="C:\Users\sthon\Dropbox\Press\Messen\Hannover 2015\Pressemappe\WEG3758_Image2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on\Dropbox\Press\Messen\Hannover 2015\Pressemappe\WEG3758_Image2_pre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856" cy="118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A1F4910" w14:textId="651E2401" w:rsidR="00EF59A7" w:rsidRPr="001665BD" w:rsidRDefault="00EF59A7" w:rsidP="00EF59A7">
      <w:pPr>
        <w:spacing w:after="0" w:line="360" w:lineRule="auto"/>
        <w:jc w:val="both"/>
        <w:rPr>
          <w:rFonts w:cs="Calibri"/>
          <w:color w:val="FF0000"/>
          <w:lang w:val="en-US"/>
        </w:rPr>
      </w:pPr>
      <w:proofErr w:type="spellStart"/>
      <w:r w:rsidRPr="001665BD">
        <w:rPr>
          <w:rFonts w:cs="Calibri"/>
          <w:b/>
          <w:lang w:val="en-US"/>
        </w:rPr>
        <w:t>WEG3758_Image2</w:t>
      </w:r>
      <w:proofErr w:type="spellEnd"/>
      <w:r w:rsidRPr="001665BD">
        <w:rPr>
          <w:rFonts w:cs="Calibri"/>
          <w:b/>
          <w:lang w:val="en-US"/>
        </w:rPr>
        <w:t>:</w:t>
      </w:r>
      <w:r w:rsidRPr="001665BD">
        <w:rPr>
          <w:rFonts w:cs="Calibri"/>
          <w:color w:val="FF0000"/>
          <w:lang w:val="en-US"/>
        </w:rPr>
        <w:t xml:space="preserve"> </w:t>
      </w:r>
      <w:r w:rsidR="001665BD" w:rsidRPr="00BC017D">
        <w:rPr>
          <w:rFonts w:cs="Calibri"/>
          <w:lang w:val="en-US"/>
        </w:rPr>
        <w:t xml:space="preserve">All of </w:t>
      </w:r>
      <w:proofErr w:type="spellStart"/>
      <w:r w:rsidR="001665BD" w:rsidRPr="00BC017D">
        <w:rPr>
          <w:rFonts w:cs="Calibri"/>
          <w:lang w:val="en-US"/>
        </w:rPr>
        <w:t>WEG's</w:t>
      </w:r>
      <w:proofErr w:type="spellEnd"/>
      <w:r w:rsidR="001665BD" w:rsidRPr="00BC017D">
        <w:rPr>
          <w:rFonts w:cs="Calibri"/>
          <w:lang w:val="en-US"/>
        </w:rPr>
        <w:t xml:space="preserve"> current switchgear and protection devices can be used without restriction to ensure the reliable operation of </w:t>
      </w:r>
      <w:proofErr w:type="spellStart"/>
      <w:r w:rsidR="001665BD" w:rsidRPr="00BC017D">
        <w:rPr>
          <w:rFonts w:cs="Calibri"/>
          <w:lang w:val="en-US"/>
        </w:rPr>
        <w:t>IE3</w:t>
      </w:r>
      <w:proofErr w:type="spellEnd"/>
      <w:r w:rsidR="001665BD" w:rsidRPr="00BC017D">
        <w:rPr>
          <w:rFonts w:cs="Calibri"/>
          <w:lang w:val="en-US"/>
        </w:rPr>
        <w:t xml:space="preserve"> motors</w:t>
      </w:r>
    </w:p>
    <w:p w14:paraId="6038B25B" w14:textId="77777777" w:rsidR="00EF59A7" w:rsidRPr="001665BD" w:rsidRDefault="00EF59A7" w:rsidP="00EF59A7">
      <w:pPr>
        <w:spacing w:after="0" w:line="360" w:lineRule="auto"/>
        <w:jc w:val="both"/>
        <w:rPr>
          <w:rFonts w:cs="Calibri"/>
          <w:color w:val="FF0000"/>
          <w:lang w:val="en-US"/>
        </w:rPr>
      </w:pPr>
    </w:p>
    <w:p w14:paraId="782E0E1E" w14:textId="77777777" w:rsidR="00EF59A7" w:rsidRPr="001665BD" w:rsidRDefault="00EF59A7" w:rsidP="009D49C2">
      <w:pPr>
        <w:spacing w:after="0" w:line="360" w:lineRule="auto"/>
        <w:jc w:val="both"/>
        <w:rPr>
          <w:rFonts w:cs="Calibri"/>
          <w:lang w:val="en-US"/>
        </w:rPr>
      </w:pPr>
    </w:p>
    <w:p w14:paraId="5829867E" w14:textId="198D5DAC" w:rsidR="0094751E" w:rsidRPr="0094751E" w:rsidRDefault="0094751E" w:rsidP="0094751E">
      <w:pPr>
        <w:spacing w:line="360" w:lineRule="auto"/>
        <w:jc w:val="both"/>
        <w:rPr>
          <w:b/>
          <w:bCs/>
        </w:rPr>
      </w:pPr>
      <w:r>
        <w:rPr>
          <w:b/>
          <w:bCs/>
        </w:rPr>
        <w:t>Ends</w:t>
      </w:r>
    </w:p>
    <w:p w14:paraId="63B9650F" w14:textId="77777777" w:rsidR="00753F51" w:rsidRPr="008821E9" w:rsidRDefault="00753F51" w:rsidP="00753F51">
      <w:pPr>
        <w:pStyle w:val="berschrift2"/>
        <w:rPr>
          <w:rFonts w:ascii="Calibri" w:hAnsi="Calibri" w:cs="Calibri"/>
          <w:color w:val="auto"/>
          <w:sz w:val="22"/>
          <w:szCs w:val="22"/>
        </w:rPr>
      </w:pPr>
      <w:r w:rsidRPr="008821E9">
        <w:rPr>
          <w:rFonts w:ascii="Calibri" w:hAnsi="Calibri" w:cs="Calibri"/>
          <w:color w:val="auto"/>
          <w:sz w:val="22"/>
          <w:szCs w:val="22"/>
        </w:rPr>
        <w:t>About WEG</w:t>
      </w:r>
    </w:p>
    <w:p w14:paraId="5A66EBEE" w14:textId="77777777" w:rsidR="00753F51" w:rsidRPr="008816F6" w:rsidRDefault="00753F51" w:rsidP="00753F51">
      <w:pPr>
        <w:jc w:val="both"/>
      </w:pPr>
      <w:r w:rsidRPr="008816F6">
        <w:t>WEG is one of the largest global manufacturers of electric equipment, having five main Business Units: Motors, Energy, Transmission and Distribution, Automation and Coatings.  The company employs over 30,000 people worldwide and in 201</w:t>
      </w:r>
      <w:r>
        <w:t>4</w:t>
      </w:r>
      <w:r w:rsidRPr="008816F6">
        <w:t xml:space="preserve"> achieved global sales of R$</w:t>
      </w:r>
      <w:r>
        <w:t>7</w:t>
      </w:r>
      <w:r w:rsidRPr="008816F6">
        <w:t>.8 billion, representing success across a wide range of product groups.  These include the latest generation of transformers, LV control gear, generators, gear motors, inverter drive systems, soft starters, LV/MV and HV motors, ATEX-compliant explosion proof motors, smoke extraction motors and full turnkey systems.  </w:t>
      </w:r>
    </w:p>
    <w:p w14:paraId="3975F07D" w14:textId="77777777" w:rsidR="00753F51" w:rsidRPr="008816F6" w:rsidRDefault="00753F51" w:rsidP="00753F51">
      <w:pPr>
        <w:jc w:val="both"/>
      </w:pPr>
      <w:r w:rsidRPr="008816F6">
        <w:rPr>
          <w:shd w:val="clear" w:color="auto" w:fill="FFFFFF"/>
        </w:rPr>
        <w:t>Its power generation, transmission and distribution solutions enable those across many industries, especially in the oil &amp; gas, water, power distribution, chemical and petrochemical markets, to operate more efficiently, and to reduce energy usage, carbon emissions and environmental impact.</w:t>
      </w:r>
      <w:r w:rsidRPr="008816F6">
        <w:t xml:space="preserve"> </w:t>
      </w:r>
      <w:r w:rsidRPr="008816F6">
        <w:rPr>
          <w:shd w:val="clear" w:color="auto" w:fill="FFFFFF"/>
        </w:rPr>
        <w:t>In addition, WEG provides full solutions for renewable energy projects, producing complete wind turbine systems.</w:t>
      </w:r>
    </w:p>
    <w:p w14:paraId="66093140" w14:textId="77777777" w:rsidR="0094751E" w:rsidRDefault="0094751E" w:rsidP="0094751E">
      <w:pPr>
        <w:pStyle w:val="StandardWeb"/>
        <w:rPr>
          <w:rStyle w:val="Fett"/>
          <w:rFonts w:ascii="Calibri" w:hAnsi="Calibri" w:cs="Calibri"/>
          <w:sz w:val="22"/>
          <w:szCs w:val="22"/>
          <w:lang w:val="en-US"/>
        </w:rPr>
      </w:pPr>
    </w:p>
    <w:p w14:paraId="09B34CA1" w14:textId="77777777" w:rsidR="0094751E" w:rsidRDefault="0094751E" w:rsidP="0094751E">
      <w:pPr>
        <w:pStyle w:val="StandardWeb"/>
      </w:pPr>
      <w:r>
        <w:rPr>
          <w:rStyle w:val="Fett"/>
          <w:rFonts w:ascii="Calibri" w:hAnsi="Calibri" w:cs="Calibri"/>
          <w:sz w:val="22"/>
          <w:szCs w:val="22"/>
        </w:rPr>
        <w:t>Editorial Contact</w:t>
      </w:r>
    </w:p>
    <w:p w14:paraId="3E8F70F0" w14:textId="77777777" w:rsidR="0094751E" w:rsidRDefault="0094751E" w:rsidP="0094751E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Marco Giudici, Technical Publicity</w:t>
      </w:r>
      <w:r>
        <w:rPr>
          <w:rFonts w:ascii="Calibri" w:hAnsi="Calibri" w:cs="Calibri"/>
          <w:sz w:val="22"/>
          <w:szCs w:val="22"/>
        </w:rPr>
        <w:br/>
        <w:t xml:space="preserve">Tel: +44 (0)1582 390991 </w:t>
      </w:r>
      <w:r>
        <w:rPr>
          <w:rFonts w:ascii="Calibri" w:hAnsi="Calibri" w:cs="Calibri"/>
          <w:sz w:val="22"/>
          <w:szCs w:val="22"/>
        </w:rPr>
        <w:br/>
        <w:t xml:space="preserve">Email: 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mgiudici@technical-group.com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1FEC86B9" w14:textId="77777777" w:rsidR="0094751E" w:rsidRDefault="0094751E" w:rsidP="0094751E">
      <w:pPr>
        <w:pStyle w:val="StandardWeb"/>
        <w:rPr>
          <w:rStyle w:val="Fett"/>
        </w:rPr>
      </w:pPr>
    </w:p>
    <w:p w14:paraId="4FF93163" w14:textId="77777777" w:rsidR="0094751E" w:rsidRDefault="0094751E" w:rsidP="0094751E">
      <w:pPr>
        <w:pStyle w:val="StandardWeb"/>
      </w:pPr>
      <w:r>
        <w:rPr>
          <w:rStyle w:val="Fett"/>
          <w:rFonts w:ascii="Calibri" w:hAnsi="Calibri" w:cs="Calibri"/>
          <w:sz w:val="22"/>
          <w:szCs w:val="22"/>
        </w:rPr>
        <w:t>Company Contact</w:t>
      </w:r>
    </w:p>
    <w:p w14:paraId="25E87610" w14:textId="77777777" w:rsidR="0094751E" w:rsidRDefault="0094751E" w:rsidP="0094751E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Marek </w:t>
      </w:r>
      <w:proofErr w:type="spellStart"/>
      <w:r>
        <w:rPr>
          <w:rFonts w:ascii="Calibri" w:hAnsi="Calibri" w:cs="Calibri"/>
          <w:sz w:val="22"/>
          <w:szCs w:val="22"/>
        </w:rPr>
        <w:t>Lukaszczyk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WEG</w:t>
      </w:r>
      <w:proofErr w:type="spellEnd"/>
      <w:r>
        <w:rPr>
          <w:rFonts w:ascii="Calibri" w:hAnsi="Calibri" w:cs="Calibri"/>
          <w:sz w:val="22"/>
          <w:szCs w:val="22"/>
        </w:rPr>
        <w:t xml:space="preserve"> (UK) Ltd </w:t>
      </w:r>
      <w:r>
        <w:rPr>
          <w:rFonts w:ascii="Calibri" w:hAnsi="Calibri" w:cs="Calibri"/>
          <w:sz w:val="22"/>
          <w:szCs w:val="22"/>
        </w:rPr>
        <w:br/>
        <w:t>Tel: +44(0)1527 513800 Fax: +44(0)1527 513810</w:t>
      </w:r>
      <w:r>
        <w:rPr>
          <w:rFonts w:ascii="Calibri" w:hAnsi="Calibri" w:cs="Calibri"/>
          <w:sz w:val="22"/>
          <w:szCs w:val="22"/>
        </w:rPr>
        <w:br/>
        <w:t xml:space="preserve">Email:  </w:t>
      </w: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>wegsales@wegelectricmotors.co.uk</w:t>
        </w:r>
      </w:hyperlink>
    </w:p>
    <w:p w14:paraId="62060825" w14:textId="77777777" w:rsidR="0094751E" w:rsidRDefault="0094751E" w:rsidP="0094751E">
      <w:pPr>
        <w:pStyle w:val="StandardWeb"/>
        <w:rPr>
          <w:rFonts w:ascii="Calibri" w:hAnsi="Calibri" w:cs="Calibri"/>
          <w:sz w:val="22"/>
          <w:szCs w:val="22"/>
          <w:highlight w:val="cyan"/>
          <w:lang w:val="de-DE"/>
        </w:rPr>
      </w:pPr>
    </w:p>
    <w:p w14:paraId="1C736675" w14:textId="77777777" w:rsidR="0094751E" w:rsidRDefault="0094751E" w:rsidP="0094751E">
      <w:pPr>
        <w:pStyle w:val="StandardWeb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Web: </w:t>
      </w:r>
      <w:hyperlink r:id="rId14" w:history="1">
        <w:r>
          <w:rPr>
            <w:rStyle w:val="Hyperlink"/>
            <w:rFonts w:ascii="Calibri" w:hAnsi="Calibri" w:cs="Calibri"/>
            <w:sz w:val="22"/>
            <w:szCs w:val="22"/>
            <w:lang w:val="de-DE"/>
          </w:rPr>
          <w:t>www.weg.net</w:t>
        </w:r>
      </w:hyperlink>
      <w:r>
        <w:rPr>
          <w:rStyle w:val="Hyperlink"/>
          <w:rFonts w:ascii="Calibri" w:hAnsi="Calibri" w:cs="Calibri"/>
          <w:sz w:val="22"/>
          <w:szCs w:val="22"/>
          <w:lang w:val="de-DE"/>
        </w:rPr>
        <w:t>/uk</w:t>
      </w:r>
    </w:p>
    <w:p w14:paraId="5923D0FB" w14:textId="4C9B2FD4" w:rsidR="009D49C2" w:rsidRPr="00FA43ED" w:rsidRDefault="009D49C2" w:rsidP="009D49C2">
      <w:pPr>
        <w:spacing w:after="0" w:line="360" w:lineRule="auto"/>
        <w:jc w:val="both"/>
      </w:pPr>
    </w:p>
    <w:sectPr w:rsidR="009D49C2" w:rsidRPr="00FA43ED" w:rsidSect="0063524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155" w:right="128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30551" w14:textId="77777777" w:rsidR="00773F3D" w:rsidRDefault="00773F3D">
      <w:r>
        <w:separator/>
      </w:r>
    </w:p>
  </w:endnote>
  <w:endnote w:type="continuationSeparator" w:id="0">
    <w:p w14:paraId="511F359A" w14:textId="77777777" w:rsidR="00773F3D" w:rsidRDefault="00773F3D">
      <w:r>
        <w:continuationSeparator/>
      </w:r>
    </w:p>
  </w:endnote>
  <w:endnote w:type="continuationNotice" w:id="1">
    <w:p w14:paraId="148E951B" w14:textId="77777777" w:rsidR="00773F3D" w:rsidRDefault="00773F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Pro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A12C6" w14:textId="77777777" w:rsidR="00B40718" w:rsidRDefault="00B40718">
    <w:pPr>
      <w:pStyle w:val="Fuzeile"/>
      <w:jc w:val="right"/>
      <w:rPr>
        <w:rFonts w:ascii="Helvetica" w:hAnsi="Helvetic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A6707" w14:textId="2ACA4C23" w:rsidR="00B40718" w:rsidRDefault="00B40718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E04378C" wp14:editId="74242C74">
              <wp:simplePos x="0" y="0"/>
              <wp:positionH relativeFrom="page">
                <wp:posOffset>900430</wp:posOffset>
              </wp:positionH>
              <wp:positionV relativeFrom="page">
                <wp:posOffset>10009505</wp:posOffset>
              </wp:positionV>
              <wp:extent cx="5760085" cy="149860"/>
              <wp:effectExtent l="0" t="0" r="12065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3B2D9" w14:textId="77777777" w:rsidR="00B40718" w:rsidRDefault="00B40718">
                          <w:pPr>
                            <w:tabs>
                              <w:tab w:val="right" w:pos="9000"/>
                            </w:tabs>
                            <w:rPr>
                              <w:rFonts w:ascii="Helvetica" w:hAnsi="Helvetica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04378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70.9pt;margin-top:788.15pt;width:453.5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XMrwIAAKo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" filled="f" stroked="f">
              <v:textbox inset="0,0,0,0">
                <w:txbxContent>
                  <w:p w14:paraId="72D3B2D9" w14:textId="77777777" w:rsidR="00B40718" w:rsidRDefault="00B40718">
                    <w:pPr>
                      <w:tabs>
                        <w:tab w:val="right" w:pos="9000"/>
                      </w:tabs>
                      <w:rPr>
                        <w:rFonts w:ascii="Helvetica" w:hAnsi="Helvetica" w:cs="Arial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sz w:val="16"/>
                      </w:rPr>
                      <w:tab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C6F73" w14:textId="77777777" w:rsidR="00773F3D" w:rsidRDefault="00773F3D">
      <w:r>
        <w:separator/>
      </w:r>
    </w:p>
  </w:footnote>
  <w:footnote w:type="continuationSeparator" w:id="0">
    <w:p w14:paraId="1F5E2E3E" w14:textId="77777777" w:rsidR="00773F3D" w:rsidRDefault="00773F3D">
      <w:r>
        <w:continuationSeparator/>
      </w:r>
    </w:p>
  </w:footnote>
  <w:footnote w:type="continuationNotice" w:id="1">
    <w:p w14:paraId="32BCDD9E" w14:textId="77777777" w:rsidR="00773F3D" w:rsidRDefault="00773F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C9DC2" w14:textId="77777777" w:rsidR="00B40718" w:rsidRDefault="00B40718">
    <w:pPr>
      <w:pStyle w:val="Kopfzeile"/>
    </w:pPr>
  </w:p>
  <w:p w14:paraId="1FCCD8FF" w14:textId="77777777" w:rsidR="00B40718" w:rsidRDefault="00B40718">
    <w:pPr>
      <w:pStyle w:val="Kopfzeile"/>
    </w:pPr>
  </w:p>
  <w:p w14:paraId="10AD66FC" w14:textId="77777777" w:rsidR="00B40718" w:rsidRDefault="00B40718">
    <w:pPr>
      <w:pStyle w:val="Kopfzeile"/>
    </w:pPr>
  </w:p>
  <w:p w14:paraId="67549BCC" w14:textId="77777777" w:rsidR="00B40718" w:rsidRDefault="00B40718">
    <w:pPr>
      <w:pStyle w:val="Kopfzeile"/>
    </w:pPr>
  </w:p>
  <w:p w14:paraId="33E9E18A" w14:textId="77777777" w:rsidR="00B40718" w:rsidRDefault="00B40718">
    <w:pPr>
      <w:pStyle w:val="Kopfzeile"/>
    </w:pPr>
  </w:p>
  <w:p w14:paraId="2E7E2B59" w14:textId="77777777" w:rsidR="00B40718" w:rsidRDefault="00B4071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216" behindDoc="1" locked="1" layoutInCell="0" allowOverlap="1" wp14:anchorId="69A9D988" wp14:editId="340B37A9">
          <wp:simplePos x="0" y="0"/>
          <wp:positionH relativeFrom="page">
            <wp:posOffset>-36195</wp:posOffset>
          </wp:positionH>
          <wp:positionV relativeFrom="page">
            <wp:posOffset>1908175</wp:posOffset>
          </wp:positionV>
          <wp:extent cx="723900" cy="1924050"/>
          <wp:effectExtent l="0" t="0" r="0" b="0"/>
          <wp:wrapNone/>
          <wp:docPr id="6" name="Bild 4" descr="Ka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Ka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92" behindDoc="0" locked="1" layoutInCell="1" allowOverlap="1" wp14:anchorId="2D630E89" wp14:editId="4C3163D4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2" name="Bild 2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8" behindDoc="1" locked="1" layoutInCell="1" allowOverlap="1" wp14:anchorId="1DCF8F7D" wp14:editId="3EC06F39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3" name="Bild 1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B14C8" w14:textId="77777777" w:rsidR="00B40718" w:rsidRDefault="00B40718">
    <w:pPr>
      <w:pStyle w:val="Kopfzeile"/>
      <w:rPr>
        <w:rFonts w:ascii="Calibri" w:hAnsi="Calibri" w:cs="Calibri"/>
      </w:rPr>
    </w:pPr>
  </w:p>
  <w:p w14:paraId="04894987" w14:textId="77777777" w:rsidR="00B40718" w:rsidRPr="00BE30BB" w:rsidRDefault="00B40718">
    <w:pPr>
      <w:spacing w:after="0"/>
      <w:rPr>
        <w:rFonts w:cs="Calibri"/>
        <w:sz w:val="36"/>
        <w:szCs w:val="36"/>
      </w:rPr>
    </w:pPr>
    <w:r>
      <w:rPr>
        <w:sz w:val="36"/>
      </w:rPr>
      <w:t>PRESS RELEASE</w:t>
    </w:r>
  </w:p>
  <w:p w14:paraId="21D676D1" w14:textId="77777777" w:rsidR="00B40718" w:rsidRPr="00BE30BB" w:rsidRDefault="00B40718">
    <w:pPr>
      <w:pStyle w:val="Kopfzeile"/>
      <w:rPr>
        <w:rFonts w:ascii="Calibri" w:hAnsi="Calibri" w:cs="Calibri"/>
      </w:rPr>
    </w:pPr>
  </w:p>
  <w:p w14:paraId="3B99014C" w14:textId="77777777" w:rsidR="00B40718" w:rsidRDefault="00B40718">
    <w:pPr>
      <w:pStyle w:val="Kopfzeile"/>
      <w:rPr>
        <w:rFonts w:ascii="Calibri" w:hAnsi="Calibri" w:cs="Calibri"/>
        <w:sz w:val="22"/>
        <w:szCs w:val="22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1" wp14:anchorId="7777BC1D" wp14:editId="47789FA4">
          <wp:simplePos x="0" y="0"/>
          <wp:positionH relativeFrom="page">
            <wp:posOffset>-36195</wp:posOffset>
          </wp:positionH>
          <wp:positionV relativeFrom="page">
            <wp:posOffset>1908175</wp:posOffset>
          </wp:positionV>
          <wp:extent cx="723900" cy="1924050"/>
          <wp:effectExtent l="0" t="0" r="0" b="0"/>
          <wp:wrapNone/>
          <wp:docPr id="4" name="Bild 13" descr="Ka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Ka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</w:rPr>
      <w:t>Ref.:</w:t>
    </w:r>
    <w:r>
      <w:rPr>
        <w:rFonts w:ascii="Calibri" w:hAnsi="Calibri"/>
        <w:sz w:val="22"/>
      </w:rPr>
      <w:t xml:space="preserve"> WEG3758</w:t>
    </w:r>
  </w:p>
  <w:p w14:paraId="77D3A47C" w14:textId="77777777" w:rsidR="00B40718" w:rsidRPr="00BE30BB" w:rsidRDefault="00B40718">
    <w:pPr>
      <w:pStyle w:val="Kopfzeile"/>
      <w:rPr>
        <w:rFonts w:ascii="Calibri" w:hAnsi="Calibri" w:cs="Calibri"/>
        <w:sz w:val="22"/>
        <w:szCs w:val="22"/>
      </w:rPr>
    </w:pPr>
    <w:r>
      <w:rPr>
        <w:rFonts w:ascii="Calibri" w:hAnsi="Calibri"/>
        <w:sz w:val="22"/>
      </w:rPr>
      <w:t>Date: 13 April 2015</w:t>
    </w:r>
  </w:p>
  <w:p w14:paraId="0D5A2E1F" w14:textId="77777777" w:rsidR="00B40718" w:rsidRPr="0055621C" w:rsidRDefault="00B40718" w:rsidP="009D49C2">
    <w:pPr>
      <w:pStyle w:val="Kopfzeile"/>
      <w:rPr>
        <w:rFonts w:ascii="Calibri" w:hAnsi="Calibri" w:cs="Calibri"/>
        <w:sz w:val="22"/>
        <w:szCs w:val="22"/>
        <w:lang w:val="da-DK"/>
      </w:rPr>
    </w:pPr>
    <w:r>
      <w:rPr>
        <w:i/>
        <w:sz w:val="22"/>
      </w:rPr>
      <w:tab/>
    </w:r>
    <w:r>
      <w:rPr>
        <w:rFonts w:ascii="Calibri" w:hAnsi="Calibri"/>
        <w:i/>
        <w:sz w:val="22"/>
      </w:rPr>
      <w:tab/>
    </w:r>
    <w:r w:rsidRPr="0055621C">
      <w:rPr>
        <w:rFonts w:ascii="Calibri" w:hAnsi="Calibri"/>
        <w:sz w:val="22"/>
        <w:lang w:val="da-DK"/>
      </w:rPr>
      <w:t>WEG at Hannover Messe: Hall 15, Stand F11</w:t>
    </w:r>
  </w:p>
  <w:p w14:paraId="57A82584" w14:textId="77777777" w:rsidR="00B40718" w:rsidRDefault="00B40718">
    <w:pPr>
      <w:pStyle w:val="Kopfzeile"/>
      <w:rPr>
        <w:rFonts w:ascii="Calibri" w:hAnsi="Calibri" w:cs="Calibri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79914133" wp14:editId="547F2D93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5" name="Bild 11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216D"/>
    <w:multiLevelType w:val="hybridMultilevel"/>
    <w:tmpl w:val="346A0D6A"/>
    <w:lvl w:ilvl="0" w:tplc="EEDAC2AC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B30A3382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6D32AC86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90682C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BFC472DC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5062E48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E1842CE0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EE2467AE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1880A14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1A"/>
    <w:rsid w:val="000F62EC"/>
    <w:rsid w:val="00113AE8"/>
    <w:rsid w:val="001665BD"/>
    <w:rsid w:val="001F2778"/>
    <w:rsid w:val="002155AA"/>
    <w:rsid w:val="00231B78"/>
    <w:rsid w:val="00247FF9"/>
    <w:rsid w:val="0027700C"/>
    <w:rsid w:val="002C2E9F"/>
    <w:rsid w:val="002D16FA"/>
    <w:rsid w:val="00312524"/>
    <w:rsid w:val="00460B6B"/>
    <w:rsid w:val="0055621C"/>
    <w:rsid w:val="005B57FE"/>
    <w:rsid w:val="005F2809"/>
    <w:rsid w:val="00620914"/>
    <w:rsid w:val="0063524B"/>
    <w:rsid w:val="00687B55"/>
    <w:rsid w:val="00731F15"/>
    <w:rsid w:val="00751F5C"/>
    <w:rsid w:val="00753F51"/>
    <w:rsid w:val="00773F3D"/>
    <w:rsid w:val="007955B2"/>
    <w:rsid w:val="007B350B"/>
    <w:rsid w:val="00823C63"/>
    <w:rsid w:val="0084222A"/>
    <w:rsid w:val="008833E2"/>
    <w:rsid w:val="0094751E"/>
    <w:rsid w:val="009D49C2"/>
    <w:rsid w:val="00A10F9C"/>
    <w:rsid w:val="00A47F91"/>
    <w:rsid w:val="00A62A0C"/>
    <w:rsid w:val="00AD6BDF"/>
    <w:rsid w:val="00AE0255"/>
    <w:rsid w:val="00B40718"/>
    <w:rsid w:val="00B6528B"/>
    <w:rsid w:val="00BC017D"/>
    <w:rsid w:val="00C9698F"/>
    <w:rsid w:val="00DC31C0"/>
    <w:rsid w:val="00E15A3F"/>
    <w:rsid w:val="00EF59A7"/>
    <w:rsid w:val="00F62911"/>
    <w:rsid w:val="00F83B1A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6146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2">
    <w:name w:val="heading 2"/>
    <w:basedOn w:val="Standard"/>
    <w:link w:val="berschrift2Zchn1"/>
    <w:qFormat/>
    <w:pPr>
      <w:spacing w:after="0" w:line="240" w:lineRule="auto"/>
      <w:outlineLvl w:val="1"/>
    </w:pPr>
    <w:rPr>
      <w:rFonts w:ascii="Arial" w:hAnsi="Arial" w:cs="Arial"/>
      <w:b/>
      <w:bCs/>
      <w:color w:val="0E3984"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ocked/>
    <w:rPr>
      <w:rFonts w:ascii="Arial" w:hAnsi="Arial" w:cs="Arial"/>
      <w:b/>
      <w:bCs/>
      <w:color w:val="0E3984"/>
      <w:sz w:val="34"/>
      <w:szCs w:val="34"/>
      <w:lang w:val="en-GB" w:eastAsia="en-GB"/>
    </w:rPr>
  </w:style>
  <w:style w:type="paragraph" w:customStyle="1" w:styleId="01LAddressOverlineHN456">
    <w:name w:val="01 (L) / Address Overline HN45 6"/>
    <w:aliases w:val="25pt"/>
    <w:basedOn w:val="Standard"/>
    <w:next w:val="Standard"/>
    <w:pPr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3"/>
      <w:szCs w:val="13"/>
    </w:rPr>
  </w:style>
  <w:style w:type="character" w:customStyle="1" w:styleId="01LHN456">
    <w:name w:val="01 (L) / HN45 6"/>
    <w:aliases w:val="25pt / black"/>
    <w:rPr>
      <w:rFonts w:ascii="Helvetica Neue LT Pro 45 Light" w:hAnsi="Helvetica Neue LT Pro 45 Light"/>
      <w:color w:val="000000"/>
      <w:spacing w:val="0"/>
      <w:w w:val="100"/>
      <w:position w:val="0"/>
      <w:sz w:val="13"/>
      <w:u w:val="none"/>
      <w:vertAlign w:val="baseline"/>
      <w:lang w:val="en-GB" w:eastAsia="en-GB"/>
    </w:rPr>
  </w:style>
  <w:style w:type="character" w:customStyle="1" w:styleId="06LHN456ptblack">
    <w:name w:val="06 (L) / HN45 6pt / black"/>
    <w:rPr>
      <w:rFonts w:ascii="Helvetica Neue LT Pro 45 Light" w:hAnsi="Helvetica Neue LT Pro 45 Light"/>
      <w:color w:val="000000"/>
      <w:spacing w:val="0"/>
      <w:w w:val="100"/>
      <w:position w:val="0"/>
      <w:sz w:val="12"/>
      <w:u w:val="none"/>
      <w:vertAlign w:val="baseline"/>
      <w:lang w:val="en-GB" w:eastAsia="en-GB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uiPriority w:val="99"/>
    <w:locked/>
    <w:rPr>
      <w:rFonts w:ascii="Calibri" w:hAnsi="Calibri" w:cs="Times New Roman"/>
      <w:lang w:val="en-GB" w:eastAsia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semiHidden/>
    <w:locked/>
    <w:rPr>
      <w:rFonts w:ascii="Calibri" w:hAnsi="Calibri" w:cs="Times New Roman"/>
      <w:lang w:val="en-GB" w:eastAsia="en-GB"/>
    </w:rPr>
  </w:style>
  <w:style w:type="paragraph" w:customStyle="1" w:styleId="06LFooterHN456pt">
    <w:name w:val="06 (L) / Footer HN45 6pt"/>
    <w:basedOn w:val="Standard"/>
    <w:next w:val="Standard"/>
    <w:pPr>
      <w:tabs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</w:tabs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2"/>
      <w:szCs w:val="12"/>
    </w:rPr>
  </w:style>
  <w:style w:type="character" w:styleId="Hyperlink">
    <w:name w:val="Hyperlink"/>
    <w:rPr>
      <w:rFonts w:cs="Times New Roman"/>
      <w:color w:val="0000FF"/>
      <w:u w:val="single"/>
      <w:lang w:val="en-GB" w:eastAsia="en-GB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Seitenzahl">
    <w:name w:val="page number"/>
    <w:rPr>
      <w:rFonts w:cs="Times New Roman"/>
      <w:lang w:val="en-GB" w:eastAsia="en-GB"/>
    </w:rPr>
  </w:style>
  <w:style w:type="character" w:customStyle="1" w:styleId="berschrift2Zchn1">
    <w:name w:val="Überschrift 2 Zchn1"/>
    <w:link w:val="berschrift2"/>
    <w:rsid w:val="00D15D4E"/>
    <w:rPr>
      <w:rFonts w:ascii="Arial" w:hAnsi="Arial" w:cs="Arial"/>
      <w:b/>
      <w:bCs/>
      <w:color w:val="0E3984"/>
      <w:sz w:val="34"/>
      <w:szCs w:val="34"/>
      <w:lang w:val="en-GB" w:eastAsia="en-GB"/>
    </w:rPr>
  </w:style>
  <w:style w:type="paragraph" w:styleId="StandardWeb">
    <w:name w:val="Normal (Web)"/>
    <w:basedOn w:val="Standard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Pr>
      <w:rFonts w:cs="Times New Roman"/>
      <w:b/>
      <w:bCs/>
      <w:lang w:val="en-GB" w:eastAsia="en-GB"/>
    </w:rPr>
  </w:style>
  <w:style w:type="character" w:styleId="Kommentarzeichen">
    <w:name w:val="annotation reference"/>
    <w:semiHidden/>
    <w:rPr>
      <w:rFonts w:cs="Times New Roman"/>
      <w:sz w:val="16"/>
      <w:szCs w:val="16"/>
      <w:lang w:val="en-GB" w:eastAsia="en-GB"/>
    </w:rPr>
  </w:style>
  <w:style w:type="paragraph" w:styleId="Kommentartext">
    <w:name w:val="annotation text"/>
    <w:basedOn w:val="Standard"/>
    <w:link w:val="KommentartextZchn1"/>
    <w:semiHidden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ocked/>
    <w:rPr>
      <w:rFonts w:ascii="Calibri" w:hAnsi="Calibri" w:cs="Times New Roman"/>
      <w:lang w:val="en-GB" w:eastAsia="en-GB"/>
    </w:rPr>
  </w:style>
  <w:style w:type="paragraph" w:customStyle="1" w:styleId="Kommentarthema1">
    <w:name w:val="Kommentarthema1"/>
    <w:basedOn w:val="Kommentartext"/>
    <w:next w:val="Kommentartext"/>
    <w:rPr>
      <w:b/>
      <w:bCs/>
    </w:rPr>
  </w:style>
  <w:style w:type="character" w:customStyle="1" w:styleId="KommentarthemaZchn">
    <w:name w:val="Kommentarthema Zchn"/>
    <w:locked/>
    <w:rPr>
      <w:rFonts w:ascii="Calibri" w:hAnsi="Calibri" w:cs="Times New Roman"/>
      <w:b/>
      <w:bCs/>
      <w:lang w:val="en-GB" w:eastAsia="en-GB"/>
    </w:rPr>
  </w:style>
  <w:style w:type="paragraph" w:customStyle="1" w:styleId="Sprechblasentext1">
    <w:name w:val="Sprechblasentext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ocked/>
    <w:rPr>
      <w:rFonts w:ascii="Tahoma" w:hAnsi="Tahoma" w:cs="Tahoma"/>
      <w:sz w:val="16"/>
      <w:szCs w:val="16"/>
      <w:lang w:val="en-GB" w:eastAsia="en-GB"/>
    </w:rPr>
  </w:style>
  <w:style w:type="paragraph" w:styleId="Sprechblasentext">
    <w:name w:val="Balloon Text"/>
    <w:basedOn w:val="Standard"/>
    <w:link w:val="SprechblasentextZchn1"/>
    <w:rsid w:val="00D6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rsid w:val="00D63994"/>
    <w:rPr>
      <w:rFonts w:ascii="Tahoma" w:hAnsi="Tahoma" w:cs="Tahoma"/>
      <w:sz w:val="16"/>
      <w:szCs w:val="16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1"/>
    <w:semiHidden/>
    <w:unhideWhenUsed/>
    <w:rsid w:val="008833E2"/>
    <w:rPr>
      <w:b/>
      <w:bCs/>
    </w:rPr>
  </w:style>
  <w:style w:type="character" w:customStyle="1" w:styleId="KommentartextZchn1">
    <w:name w:val="Kommentartext Zchn1"/>
    <w:basedOn w:val="Absatz-Standardschriftart"/>
    <w:link w:val="Kommentartext"/>
    <w:semiHidden/>
    <w:rsid w:val="008833E2"/>
    <w:rPr>
      <w:rFonts w:ascii="Calibri" w:hAnsi="Calibri"/>
    </w:rPr>
  </w:style>
  <w:style w:type="character" w:customStyle="1" w:styleId="KommentarthemaZchn1">
    <w:name w:val="Kommentarthema Zchn1"/>
    <w:basedOn w:val="KommentartextZchn1"/>
    <w:link w:val="Kommentarthema"/>
    <w:semiHidden/>
    <w:rsid w:val="008833E2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2">
    <w:name w:val="heading 2"/>
    <w:basedOn w:val="Standard"/>
    <w:link w:val="berschrift2Zchn1"/>
    <w:qFormat/>
    <w:pPr>
      <w:spacing w:after="0" w:line="240" w:lineRule="auto"/>
      <w:outlineLvl w:val="1"/>
    </w:pPr>
    <w:rPr>
      <w:rFonts w:ascii="Arial" w:hAnsi="Arial" w:cs="Arial"/>
      <w:b/>
      <w:bCs/>
      <w:color w:val="0E3984"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ocked/>
    <w:rPr>
      <w:rFonts w:ascii="Arial" w:hAnsi="Arial" w:cs="Arial"/>
      <w:b/>
      <w:bCs/>
      <w:color w:val="0E3984"/>
      <w:sz w:val="34"/>
      <w:szCs w:val="34"/>
      <w:lang w:val="en-GB" w:eastAsia="en-GB"/>
    </w:rPr>
  </w:style>
  <w:style w:type="paragraph" w:customStyle="1" w:styleId="01LAddressOverlineHN456">
    <w:name w:val="01 (L) / Address Overline HN45 6"/>
    <w:aliases w:val="25pt"/>
    <w:basedOn w:val="Standard"/>
    <w:next w:val="Standard"/>
    <w:pPr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3"/>
      <w:szCs w:val="13"/>
    </w:rPr>
  </w:style>
  <w:style w:type="character" w:customStyle="1" w:styleId="01LHN456">
    <w:name w:val="01 (L) / HN45 6"/>
    <w:aliases w:val="25pt / black"/>
    <w:rPr>
      <w:rFonts w:ascii="Helvetica Neue LT Pro 45 Light" w:hAnsi="Helvetica Neue LT Pro 45 Light"/>
      <w:color w:val="000000"/>
      <w:spacing w:val="0"/>
      <w:w w:val="100"/>
      <w:position w:val="0"/>
      <w:sz w:val="13"/>
      <w:u w:val="none"/>
      <w:vertAlign w:val="baseline"/>
      <w:lang w:val="en-GB" w:eastAsia="en-GB"/>
    </w:rPr>
  </w:style>
  <w:style w:type="character" w:customStyle="1" w:styleId="06LHN456ptblack">
    <w:name w:val="06 (L) / HN45 6pt / black"/>
    <w:rPr>
      <w:rFonts w:ascii="Helvetica Neue LT Pro 45 Light" w:hAnsi="Helvetica Neue LT Pro 45 Light"/>
      <w:color w:val="000000"/>
      <w:spacing w:val="0"/>
      <w:w w:val="100"/>
      <w:position w:val="0"/>
      <w:sz w:val="12"/>
      <w:u w:val="none"/>
      <w:vertAlign w:val="baseline"/>
      <w:lang w:val="en-GB" w:eastAsia="en-GB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uiPriority w:val="99"/>
    <w:locked/>
    <w:rPr>
      <w:rFonts w:ascii="Calibri" w:hAnsi="Calibri" w:cs="Times New Roman"/>
      <w:lang w:val="en-GB" w:eastAsia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semiHidden/>
    <w:locked/>
    <w:rPr>
      <w:rFonts w:ascii="Calibri" w:hAnsi="Calibri" w:cs="Times New Roman"/>
      <w:lang w:val="en-GB" w:eastAsia="en-GB"/>
    </w:rPr>
  </w:style>
  <w:style w:type="paragraph" w:customStyle="1" w:styleId="06LFooterHN456pt">
    <w:name w:val="06 (L) / Footer HN45 6pt"/>
    <w:basedOn w:val="Standard"/>
    <w:next w:val="Standard"/>
    <w:pPr>
      <w:tabs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</w:tabs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2"/>
      <w:szCs w:val="12"/>
    </w:rPr>
  </w:style>
  <w:style w:type="character" w:styleId="Hyperlink">
    <w:name w:val="Hyperlink"/>
    <w:rPr>
      <w:rFonts w:cs="Times New Roman"/>
      <w:color w:val="0000FF"/>
      <w:u w:val="single"/>
      <w:lang w:val="en-GB" w:eastAsia="en-GB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Seitenzahl">
    <w:name w:val="page number"/>
    <w:rPr>
      <w:rFonts w:cs="Times New Roman"/>
      <w:lang w:val="en-GB" w:eastAsia="en-GB"/>
    </w:rPr>
  </w:style>
  <w:style w:type="character" w:customStyle="1" w:styleId="berschrift2Zchn1">
    <w:name w:val="Überschrift 2 Zchn1"/>
    <w:link w:val="berschrift2"/>
    <w:rsid w:val="00D15D4E"/>
    <w:rPr>
      <w:rFonts w:ascii="Arial" w:hAnsi="Arial" w:cs="Arial"/>
      <w:b/>
      <w:bCs/>
      <w:color w:val="0E3984"/>
      <w:sz w:val="34"/>
      <w:szCs w:val="34"/>
      <w:lang w:val="en-GB" w:eastAsia="en-GB"/>
    </w:rPr>
  </w:style>
  <w:style w:type="paragraph" w:styleId="StandardWeb">
    <w:name w:val="Normal (Web)"/>
    <w:basedOn w:val="Standard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Pr>
      <w:rFonts w:cs="Times New Roman"/>
      <w:b/>
      <w:bCs/>
      <w:lang w:val="en-GB" w:eastAsia="en-GB"/>
    </w:rPr>
  </w:style>
  <w:style w:type="character" w:styleId="Kommentarzeichen">
    <w:name w:val="annotation reference"/>
    <w:semiHidden/>
    <w:rPr>
      <w:rFonts w:cs="Times New Roman"/>
      <w:sz w:val="16"/>
      <w:szCs w:val="16"/>
      <w:lang w:val="en-GB" w:eastAsia="en-GB"/>
    </w:rPr>
  </w:style>
  <w:style w:type="paragraph" w:styleId="Kommentartext">
    <w:name w:val="annotation text"/>
    <w:basedOn w:val="Standard"/>
    <w:link w:val="KommentartextZchn1"/>
    <w:semiHidden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ocked/>
    <w:rPr>
      <w:rFonts w:ascii="Calibri" w:hAnsi="Calibri" w:cs="Times New Roman"/>
      <w:lang w:val="en-GB" w:eastAsia="en-GB"/>
    </w:rPr>
  </w:style>
  <w:style w:type="paragraph" w:customStyle="1" w:styleId="Kommentarthema1">
    <w:name w:val="Kommentarthema1"/>
    <w:basedOn w:val="Kommentartext"/>
    <w:next w:val="Kommentartext"/>
    <w:rPr>
      <w:b/>
      <w:bCs/>
    </w:rPr>
  </w:style>
  <w:style w:type="character" w:customStyle="1" w:styleId="KommentarthemaZchn">
    <w:name w:val="Kommentarthema Zchn"/>
    <w:locked/>
    <w:rPr>
      <w:rFonts w:ascii="Calibri" w:hAnsi="Calibri" w:cs="Times New Roman"/>
      <w:b/>
      <w:bCs/>
      <w:lang w:val="en-GB" w:eastAsia="en-GB"/>
    </w:rPr>
  </w:style>
  <w:style w:type="paragraph" w:customStyle="1" w:styleId="Sprechblasentext1">
    <w:name w:val="Sprechblasentext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ocked/>
    <w:rPr>
      <w:rFonts w:ascii="Tahoma" w:hAnsi="Tahoma" w:cs="Tahoma"/>
      <w:sz w:val="16"/>
      <w:szCs w:val="16"/>
      <w:lang w:val="en-GB" w:eastAsia="en-GB"/>
    </w:rPr>
  </w:style>
  <w:style w:type="paragraph" w:styleId="Sprechblasentext">
    <w:name w:val="Balloon Text"/>
    <w:basedOn w:val="Standard"/>
    <w:link w:val="SprechblasentextZchn1"/>
    <w:rsid w:val="00D6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rsid w:val="00D63994"/>
    <w:rPr>
      <w:rFonts w:ascii="Tahoma" w:hAnsi="Tahoma" w:cs="Tahoma"/>
      <w:sz w:val="16"/>
      <w:szCs w:val="16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1"/>
    <w:semiHidden/>
    <w:unhideWhenUsed/>
    <w:rsid w:val="008833E2"/>
    <w:rPr>
      <w:b/>
      <w:bCs/>
    </w:rPr>
  </w:style>
  <w:style w:type="character" w:customStyle="1" w:styleId="KommentartextZchn1">
    <w:name w:val="Kommentartext Zchn1"/>
    <w:basedOn w:val="Absatz-Standardschriftart"/>
    <w:link w:val="Kommentartext"/>
    <w:semiHidden/>
    <w:rsid w:val="008833E2"/>
    <w:rPr>
      <w:rFonts w:ascii="Calibri" w:hAnsi="Calibri"/>
    </w:rPr>
  </w:style>
  <w:style w:type="character" w:customStyle="1" w:styleId="KommentarthemaZchn1">
    <w:name w:val="Kommentarthema Zchn1"/>
    <w:basedOn w:val="KommentartextZchn1"/>
    <w:link w:val="Kommentarthema"/>
    <w:semiHidden/>
    <w:rsid w:val="008833E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larke@technical-group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giudici@technical-group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eg.net/uk" TargetMode="External"/><Relationship Id="rId14" Type="http://schemas.openxmlformats.org/officeDocument/2006/relationships/hyperlink" Target="http://www.weg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chPub%20Shared%20Clients\WEG%20on%20TechPubUK\Templates\WEG_Lette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33AD-5D90-4908-81EE-EBBB6FB4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WEG_Letter1</Template>
  <TotalTime>0</TotalTime>
  <Pages>3</Pages>
  <Words>717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WEG launches new cost-effective variable speed drive with embedded micro-PLC</vt:lpstr>
      <vt:lpstr>WEG launches new cost-effective variable speed drive with embedded micro-PLC</vt:lpstr>
    </vt:vector>
  </TitlesOfParts>
  <Company>WEG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 launches new cost-effective variable speed drive with embedded micro-PLC</dc:title>
  <dc:creator>Boysen</dc:creator>
  <cp:lastModifiedBy>msteinfeldt</cp:lastModifiedBy>
  <cp:revision>12</cp:revision>
  <cp:lastPrinted>2015-03-09T14:30:00Z</cp:lastPrinted>
  <dcterms:created xsi:type="dcterms:W3CDTF">2015-03-27T16:19:00Z</dcterms:created>
  <dcterms:modified xsi:type="dcterms:W3CDTF">2015-04-08T08:03:00Z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